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5B5717" w:rsidTr="005B5717">
        <w:tc>
          <w:tcPr>
            <w:tcW w:w="4788" w:type="dxa"/>
          </w:tcPr>
          <w:p w:rsidR="005B5717" w:rsidRDefault="005B5717" w:rsidP="005B5717">
            <w:pPr>
              <w:rPr>
                <w:rFonts w:ascii="Times New Roman" w:hAnsi="Times New Roman" w:cs="Times New Roman"/>
                <w:b/>
                <w:sz w:val="28"/>
                <w:szCs w:val="28"/>
              </w:rPr>
            </w:pPr>
            <w:bookmarkStart w:id="0" w:name="_GoBack"/>
            <w:bookmarkEnd w:id="0"/>
            <w:r>
              <w:rPr>
                <w:rFonts w:ascii="Times New Roman" w:hAnsi="Times New Roman" w:cs="Times New Roman"/>
                <w:b/>
                <w:noProof/>
                <w:sz w:val="28"/>
                <w:szCs w:val="28"/>
              </w:rPr>
              <w:drawing>
                <wp:inline distT="0" distB="0" distL="0" distR="0" wp14:anchorId="37C7DA9A" wp14:editId="091A0A82">
                  <wp:extent cx="2504063" cy="845389"/>
                  <wp:effectExtent l="19050" t="0" r="0" b="0"/>
                  <wp:docPr id="2" name="Picture 1" descr="IFPRIlogo_wCGIARcaption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PRIlogo_wCGIARcaption_col.png"/>
                          <pic:cNvPicPr/>
                        </pic:nvPicPr>
                        <pic:blipFill>
                          <a:blip r:embed="rId9" cstate="print"/>
                          <a:stretch>
                            <a:fillRect/>
                          </a:stretch>
                        </pic:blipFill>
                        <pic:spPr>
                          <a:xfrm>
                            <a:off x="0" y="0"/>
                            <a:ext cx="2514879" cy="849041"/>
                          </a:xfrm>
                          <a:prstGeom prst="rect">
                            <a:avLst/>
                          </a:prstGeom>
                        </pic:spPr>
                      </pic:pic>
                    </a:graphicData>
                  </a:graphic>
                </wp:inline>
              </w:drawing>
            </w:r>
          </w:p>
        </w:tc>
        <w:tc>
          <w:tcPr>
            <w:tcW w:w="4788" w:type="dxa"/>
            <w:vAlign w:val="bottom"/>
          </w:tcPr>
          <w:p w:rsidR="005B5717" w:rsidRPr="00A0291F" w:rsidRDefault="005B5717" w:rsidP="005B5717">
            <w:pPr>
              <w:jc w:val="right"/>
              <w:rPr>
                <w:rFonts w:ascii="Calibri" w:hAnsi="Calibri" w:cs="Calibri"/>
                <w:b/>
                <w:color w:val="1B6B4B"/>
                <w:sz w:val="16"/>
                <w:szCs w:val="16"/>
              </w:rPr>
            </w:pPr>
            <w:r w:rsidRPr="00A0291F">
              <w:rPr>
                <w:rFonts w:ascii="Calibri" w:hAnsi="Calibri" w:cs="Calibri"/>
                <w:b/>
                <w:color w:val="1B6B4B"/>
                <w:sz w:val="16"/>
                <w:szCs w:val="16"/>
              </w:rPr>
              <w:t>2033 K Street, NW</w:t>
            </w:r>
          </w:p>
          <w:p w:rsidR="005B5717" w:rsidRPr="00A0291F" w:rsidRDefault="005B5717" w:rsidP="005B5717">
            <w:pPr>
              <w:jc w:val="right"/>
              <w:rPr>
                <w:rFonts w:ascii="Calibri" w:hAnsi="Calibri" w:cs="Calibri"/>
                <w:b/>
                <w:color w:val="1B6B4B"/>
                <w:sz w:val="16"/>
                <w:szCs w:val="16"/>
              </w:rPr>
            </w:pPr>
            <w:r w:rsidRPr="00A0291F">
              <w:rPr>
                <w:rFonts w:ascii="Calibri" w:hAnsi="Calibri" w:cs="Calibri"/>
                <w:b/>
                <w:color w:val="1B6B4B"/>
                <w:sz w:val="16"/>
                <w:szCs w:val="16"/>
              </w:rPr>
              <w:t>Washington, DC 20006-1002</w:t>
            </w:r>
            <w:r w:rsidR="0037428D">
              <w:rPr>
                <w:rFonts w:ascii="Calibri" w:hAnsi="Calibri" w:cs="Calibri"/>
                <w:b/>
                <w:color w:val="1B6B4B"/>
                <w:sz w:val="16"/>
                <w:szCs w:val="16"/>
              </w:rPr>
              <w:t>, U.S.A.</w:t>
            </w:r>
          </w:p>
          <w:p w:rsidR="005B5717" w:rsidRPr="00A0291F" w:rsidRDefault="005B5717" w:rsidP="005B5717">
            <w:pPr>
              <w:jc w:val="right"/>
              <w:rPr>
                <w:rFonts w:ascii="Calibri" w:hAnsi="Calibri" w:cs="Calibri"/>
                <w:b/>
                <w:color w:val="1B6B4B"/>
                <w:sz w:val="16"/>
                <w:szCs w:val="16"/>
              </w:rPr>
            </w:pPr>
            <w:r w:rsidRPr="00A0291F">
              <w:rPr>
                <w:rFonts w:ascii="Calibri" w:hAnsi="Calibri" w:cs="Calibri"/>
                <w:b/>
                <w:color w:val="1B6B4B"/>
                <w:sz w:val="16"/>
                <w:szCs w:val="16"/>
              </w:rPr>
              <w:t>T.: 1-202-862-</w:t>
            </w:r>
            <w:r w:rsidR="002F260C">
              <w:rPr>
                <w:rFonts w:ascii="Calibri" w:hAnsi="Calibri" w:cs="Calibri"/>
                <w:b/>
                <w:color w:val="1B6B4B"/>
                <w:sz w:val="16"/>
                <w:szCs w:val="16"/>
              </w:rPr>
              <w:t>6496</w:t>
            </w:r>
            <w:r w:rsidR="00A0291F" w:rsidRPr="00A0291F">
              <w:rPr>
                <w:rFonts w:ascii="Calibri" w:hAnsi="Calibri" w:cs="Calibri"/>
                <w:b/>
                <w:color w:val="1B6B4B"/>
                <w:sz w:val="16"/>
                <w:szCs w:val="16"/>
              </w:rPr>
              <w:t xml:space="preserve"> ● F.: 1-202-467-4439</w:t>
            </w:r>
          </w:p>
          <w:p w:rsidR="005B5717" w:rsidRPr="00A0291F" w:rsidRDefault="002F260C" w:rsidP="005B5717">
            <w:pPr>
              <w:jc w:val="right"/>
              <w:rPr>
                <w:rFonts w:ascii="Calibri" w:hAnsi="Calibri" w:cs="Calibri"/>
                <w:b/>
                <w:color w:val="1B6B4B"/>
                <w:sz w:val="16"/>
                <w:szCs w:val="16"/>
              </w:rPr>
            </w:pPr>
            <w:r>
              <w:rPr>
                <w:rFonts w:ascii="Calibri" w:hAnsi="Calibri" w:cs="Calibri"/>
                <w:b/>
                <w:color w:val="1B6B4B"/>
                <w:sz w:val="16"/>
                <w:szCs w:val="16"/>
              </w:rPr>
              <w:t>Skype I</w:t>
            </w:r>
            <w:r w:rsidR="005B5717" w:rsidRPr="00A0291F">
              <w:rPr>
                <w:rFonts w:ascii="Calibri" w:hAnsi="Calibri" w:cs="Calibri"/>
                <w:b/>
                <w:color w:val="1B6B4B"/>
                <w:sz w:val="16"/>
                <w:szCs w:val="16"/>
              </w:rPr>
              <w:t xml:space="preserve">D: </w:t>
            </w:r>
            <w:r w:rsidR="00B73FCC">
              <w:rPr>
                <w:rFonts w:ascii="Calibri" w:hAnsi="Calibri" w:cs="Calibri"/>
                <w:b/>
                <w:color w:val="1B6B4B"/>
                <w:sz w:val="16"/>
                <w:szCs w:val="16"/>
              </w:rPr>
              <w:t>Shenggen.</w:t>
            </w:r>
            <w:r w:rsidR="008120A7">
              <w:rPr>
                <w:rFonts w:ascii="Calibri" w:hAnsi="Calibri" w:cs="Calibri"/>
                <w:b/>
                <w:color w:val="1B6B4B"/>
                <w:sz w:val="16"/>
                <w:szCs w:val="16"/>
              </w:rPr>
              <w:t>F</w:t>
            </w:r>
            <w:r w:rsidR="00B73FCC">
              <w:rPr>
                <w:rFonts w:ascii="Calibri" w:hAnsi="Calibri" w:cs="Calibri"/>
                <w:b/>
                <w:color w:val="1B6B4B"/>
                <w:sz w:val="16"/>
                <w:szCs w:val="16"/>
              </w:rPr>
              <w:t>an</w:t>
            </w:r>
          </w:p>
          <w:p w:rsidR="005B5717" w:rsidRPr="005B5717" w:rsidRDefault="00DC743A" w:rsidP="00DC743A">
            <w:pPr>
              <w:jc w:val="right"/>
              <w:rPr>
                <w:rFonts w:ascii="Calibri" w:hAnsi="Calibri" w:cs="Calibri"/>
                <w:b/>
                <w:color w:val="1B6B4B"/>
                <w:sz w:val="18"/>
                <w:szCs w:val="18"/>
              </w:rPr>
            </w:pPr>
            <w:r>
              <w:rPr>
                <w:rFonts w:ascii="Calibri" w:hAnsi="Calibri" w:cs="Calibri"/>
                <w:b/>
                <w:color w:val="1B6B4B"/>
                <w:sz w:val="16"/>
                <w:szCs w:val="16"/>
              </w:rPr>
              <w:t>s.fan</w:t>
            </w:r>
            <w:r w:rsidR="005B5717" w:rsidRPr="00A0291F">
              <w:rPr>
                <w:rFonts w:ascii="Calibri" w:hAnsi="Calibri" w:cs="Calibri"/>
                <w:b/>
                <w:color w:val="1B6B4B"/>
                <w:sz w:val="16"/>
                <w:szCs w:val="16"/>
              </w:rPr>
              <w:t>@cgiar.org</w:t>
            </w:r>
            <w:r w:rsidR="00A0291F" w:rsidRPr="00A0291F">
              <w:rPr>
                <w:rFonts w:ascii="Calibri" w:hAnsi="Calibri" w:cs="Calibri"/>
                <w:b/>
                <w:color w:val="1B6B4B"/>
                <w:sz w:val="16"/>
                <w:szCs w:val="16"/>
              </w:rPr>
              <w:t xml:space="preserve"> ● </w:t>
            </w:r>
            <w:r w:rsidR="005B5717" w:rsidRPr="00A0291F">
              <w:rPr>
                <w:rFonts w:ascii="Calibri" w:hAnsi="Calibri" w:cs="Calibri"/>
                <w:b/>
                <w:color w:val="1B6B4B"/>
                <w:sz w:val="16"/>
                <w:szCs w:val="16"/>
              </w:rPr>
              <w:t>www.ifpri.org</w:t>
            </w:r>
          </w:p>
        </w:tc>
      </w:tr>
    </w:tbl>
    <w:p w:rsidR="005B5717" w:rsidRPr="00232720" w:rsidRDefault="005B5717" w:rsidP="00232720">
      <w:pPr>
        <w:pBdr>
          <w:bottom w:val="single" w:sz="18" w:space="1" w:color="1B6B4B"/>
        </w:pBdr>
        <w:spacing w:after="0" w:line="240" w:lineRule="auto"/>
        <w:rPr>
          <w:rFonts w:ascii="Times New Roman" w:hAnsi="Times New Roman" w:cs="Times New Roman"/>
          <w:b/>
          <w:sz w:val="20"/>
          <w:szCs w:val="20"/>
        </w:rPr>
      </w:pPr>
    </w:p>
    <w:p w:rsidR="005B5717" w:rsidRPr="00232720" w:rsidRDefault="005B5717" w:rsidP="00232720">
      <w:pPr>
        <w:spacing w:before="120" w:after="0" w:line="240" w:lineRule="auto"/>
        <w:jc w:val="center"/>
        <w:rPr>
          <w:rFonts w:ascii="Times New Roman" w:hAnsi="Times New Roman" w:cs="Times New Roman"/>
          <w:sz w:val="16"/>
          <w:szCs w:val="16"/>
        </w:rPr>
      </w:pPr>
    </w:p>
    <w:p w:rsidR="0034267B" w:rsidRPr="00701FE5" w:rsidRDefault="00E25E76" w:rsidP="0034267B">
      <w:pPr>
        <w:spacing w:after="0" w:line="240" w:lineRule="auto"/>
        <w:jc w:val="center"/>
        <w:rPr>
          <w:rFonts w:ascii="Cambria" w:hAnsi="Cambria" w:cs="Times New Roman"/>
          <w:b/>
          <w:color w:val="1B6B4B"/>
          <w:sz w:val="40"/>
          <w:szCs w:val="40"/>
        </w:rPr>
      </w:pPr>
      <w:r w:rsidRPr="00701FE5">
        <w:rPr>
          <w:rFonts w:ascii="Cambria" w:hAnsi="Cambria" w:cs="Times New Roman"/>
          <w:b/>
          <w:color w:val="1B6B4B"/>
          <w:sz w:val="40"/>
          <w:szCs w:val="40"/>
        </w:rPr>
        <w:t>Supporting</w:t>
      </w:r>
      <w:r w:rsidR="00366F7A">
        <w:rPr>
          <w:rFonts w:ascii="Cambria" w:hAnsi="Cambria" w:cs="Times New Roman"/>
          <w:b/>
          <w:color w:val="1B6B4B"/>
          <w:sz w:val="40"/>
          <w:szCs w:val="40"/>
        </w:rPr>
        <w:t xml:space="preserve"> Country-driven Innovations and </w:t>
      </w:r>
      <w:r w:rsidRPr="00701FE5">
        <w:rPr>
          <w:rFonts w:ascii="Cambria" w:hAnsi="Cambria" w:cs="Times New Roman"/>
          <w:b/>
          <w:color w:val="1B6B4B"/>
          <w:sz w:val="40"/>
          <w:szCs w:val="40"/>
        </w:rPr>
        <w:t>Agr</w:t>
      </w:r>
      <w:r w:rsidR="00366F7A">
        <w:rPr>
          <w:rFonts w:ascii="Cambria" w:hAnsi="Cambria" w:cs="Times New Roman"/>
          <w:b/>
          <w:color w:val="1B6B4B"/>
          <w:sz w:val="40"/>
          <w:szCs w:val="40"/>
        </w:rPr>
        <w:t>ifood Value Chains for Poverty and Hunger </w:t>
      </w:r>
      <w:r w:rsidRPr="00701FE5">
        <w:rPr>
          <w:rFonts w:ascii="Cambria" w:hAnsi="Cambria" w:cs="Times New Roman"/>
          <w:b/>
          <w:color w:val="1B6B4B"/>
          <w:sz w:val="40"/>
          <w:szCs w:val="40"/>
        </w:rPr>
        <w:t>Reduction</w:t>
      </w:r>
    </w:p>
    <w:p w:rsidR="005A7878" w:rsidRPr="00701FE5" w:rsidRDefault="005A7878" w:rsidP="00EE12EE">
      <w:pPr>
        <w:spacing w:after="0" w:line="240" w:lineRule="auto"/>
        <w:jc w:val="center"/>
        <w:rPr>
          <w:rFonts w:ascii="Cambria" w:hAnsi="Cambria" w:cs="Times New Roman"/>
          <w:b/>
          <w:color w:val="1B6B4B"/>
          <w:sz w:val="28"/>
          <w:szCs w:val="28"/>
        </w:rPr>
      </w:pPr>
    </w:p>
    <w:p w:rsidR="00D54A8C" w:rsidRPr="00701FE5" w:rsidRDefault="00CB71EA" w:rsidP="00EE12EE">
      <w:pPr>
        <w:pStyle w:val="Default"/>
        <w:spacing w:after="240"/>
        <w:jc w:val="center"/>
        <w:rPr>
          <w:rFonts w:ascii="Cambria" w:hAnsi="Cambria"/>
        </w:rPr>
      </w:pPr>
      <w:r w:rsidRPr="00701FE5">
        <w:rPr>
          <w:rFonts w:ascii="Cambria" w:hAnsi="Cambria"/>
          <w:b/>
          <w:bCs/>
          <w:sz w:val="28"/>
          <w:szCs w:val="28"/>
        </w:rPr>
        <w:t>Shenggen Fan</w:t>
      </w:r>
      <w:r w:rsidR="0034267B" w:rsidRPr="00701FE5">
        <w:rPr>
          <w:rFonts w:ascii="Cambria" w:hAnsi="Cambria"/>
        </w:rPr>
        <w:br/>
      </w:r>
      <w:r w:rsidRPr="00701FE5">
        <w:rPr>
          <w:rFonts w:ascii="Cambria" w:hAnsi="Cambria"/>
          <w:i/>
          <w:iCs/>
          <w:sz w:val="22"/>
          <w:szCs w:val="22"/>
        </w:rPr>
        <w:t>Director General</w:t>
      </w:r>
    </w:p>
    <w:p w:rsidR="0034267B" w:rsidRPr="00701FE5" w:rsidRDefault="00D60C8B" w:rsidP="00D54A8C">
      <w:pPr>
        <w:spacing w:after="0" w:line="240" w:lineRule="auto"/>
        <w:jc w:val="center"/>
        <w:rPr>
          <w:rFonts w:ascii="Cambria" w:hAnsi="Cambria" w:cs="Calibri"/>
          <w:sz w:val="20"/>
          <w:szCs w:val="20"/>
        </w:rPr>
      </w:pPr>
      <w:r w:rsidRPr="00701FE5">
        <w:rPr>
          <w:rFonts w:ascii="Cambria" w:hAnsi="Cambria" w:cs="Calibri"/>
          <w:sz w:val="20"/>
          <w:szCs w:val="20"/>
        </w:rPr>
        <w:t>Prepared for the 16</w:t>
      </w:r>
      <w:r w:rsidRPr="00701FE5">
        <w:rPr>
          <w:rFonts w:ascii="Cambria" w:hAnsi="Cambria" w:cs="Calibri"/>
          <w:sz w:val="20"/>
          <w:szCs w:val="20"/>
          <w:vertAlign w:val="superscript"/>
        </w:rPr>
        <w:t>th</w:t>
      </w:r>
      <w:r w:rsidRPr="00701FE5">
        <w:rPr>
          <w:rFonts w:ascii="Cambria" w:hAnsi="Cambria" w:cs="Calibri"/>
          <w:sz w:val="20"/>
          <w:szCs w:val="20"/>
        </w:rPr>
        <w:t xml:space="preserve"> IUFoST World Congress of Food Science and Technology</w:t>
      </w:r>
    </w:p>
    <w:p w:rsidR="0034267B" w:rsidRPr="00701FE5" w:rsidRDefault="00D60C8B" w:rsidP="0034267B">
      <w:pPr>
        <w:spacing w:after="0" w:line="240" w:lineRule="auto"/>
        <w:jc w:val="center"/>
        <w:rPr>
          <w:rFonts w:ascii="Cambria" w:hAnsi="Cambria" w:cs="Times New Roman"/>
          <w:sz w:val="20"/>
          <w:szCs w:val="20"/>
        </w:rPr>
      </w:pPr>
      <w:r w:rsidRPr="00701FE5">
        <w:rPr>
          <w:rFonts w:ascii="Cambria" w:hAnsi="Cambria" w:cs="Calibri"/>
          <w:sz w:val="20"/>
          <w:szCs w:val="20"/>
        </w:rPr>
        <w:t>Foz do Iguaçu, Brazil</w:t>
      </w:r>
      <w:r w:rsidR="0034267B" w:rsidRPr="00701FE5">
        <w:rPr>
          <w:rFonts w:ascii="Cambria" w:hAnsi="Cambria" w:cs="Calibri"/>
          <w:sz w:val="20"/>
          <w:szCs w:val="20"/>
        </w:rPr>
        <w:t xml:space="preserve"> (</w:t>
      </w:r>
      <w:r w:rsidRPr="00701FE5">
        <w:rPr>
          <w:rFonts w:ascii="Cambria" w:hAnsi="Cambria" w:cs="Calibri"/>
          <w:sz w:val="20"/>
          <w:szCs w:val="20"/>
        </w:rPr>
        <w:t xml:space="preserve">August 5–9, </w:t>
      </w:r>
      <w:r w:rsidR="0034267B" w:rsidRPr="00701FE5">
        <w:rPr>
          <w:rFonts w:ascii="Cambria" w:hAnsi="Cambria" w:cs="Calibri"/>
          <w:sz w:val="20"/>
          <w:szCs w:val="20"/>
        </w:rPr>
        <w:t>2012)</w:t>
      </w:r>
    </w:p>
    <w:p w:rsidR="0034267B" w:rsidRDefault="0034267B" w:rsidP="0034267B">
      <w:pPr>
        <w:spacing w:after="0" w:line="240" w:lineRule="auto"/>
        <w:jc w:val="center"/>
        <w:rPr>
          <w:rFonts w:ascii="Times New Roman" w:hAnsi="Times New Roman" w:cs="Times New Roman"/>
          <w:sz w:val="20"/>
          <w:szCs w:val="20"/>
        </w:rPr>
      </w:pPr>
    </w:p>
    <w:p w:rsidR="0034267B" w:rsidRDefault="0034267B" w:rsidP="0034267B">
      <w:pPr>
        <w:spacing w:after="0" w:line="240" w:lineRule="auto"/>
        <w:jc w:val="center"/>
        <w:rPr>
          <w:rFonts w:ascii="Times New Roman" w:hAnsi="Times New Roman" w:cs="Times New Roman"/>
          <w:sz w:val="20"/>
          <w:szCs w:val="20"/>
        </w:rPr>
      </w:pPr>
    </w:p>
    <w:p w:rsidR="009A1229" w:rsidRPr="0095223E" w:rsidRDefault="009A1229" w:rsidP="0095223E">
      <w:pPr>
        <w:spacing w:after="240" w:line="240" w:lineRule="auto"/>
        <w:rPr>
          <w:rFonts w:ascii="Cambria" w:hAnsi="Cambria"/>
        </w:rPr>
      </w:pPr>
      <w:r w:rsidRPr="0095223E">
        <w:rPr>
          <w:rFonts w:ascii="Cambria" w:hAnsi="Cambria"/>
        </w:rPr>
        <w:t xml:space="preserve">According to the latest </w:t>
      </w:r>
      <w:hyperlink r:id="rId10" w:history="1">
        <w:r w:rsidRPr="0095223E">
          <w:rPr>
            <w:rStyle w:val="Hyperlink"/>
            <w:rFonts w:ascii="Cambria" w:hAnsi="Cambria"/>
            <w:szCs w:val="23"/>
          </w:rPr>
          <w:t>World Bank estimate</w:t>
        </w:r>
      </w:hyperlink>
      <w:r w:rsidRPr="0095223E">
        <w:rPr>
          <w:rFonts w:ascii="Cambria" w:hAnsi="Cambria"/>
        </w:rPr>
        <w:t xml:space="preserve">, more than 1.3 billion people live in poverty, despite tremendous progress made in the past two decades. The number of undernourished people has even increased since the mid-1990s. Today nearly 1 billion people suffer from hunger. And “hidden hunger,” as micronutrient deficiencies are called, affects the lives of more than 2 billion people. According to IFPRI’s 2011 </w:t>
      </w:r>
      <w:hyperlink r:id="rId11" w:history="1">
        <w:r w:rsidRPr="0095223E">
          <w:rPr>
            <w:rStyle w:val="Hyperlink"/>
            <w:rFonts w:ascii="Cambria" w:hAnsi="Cambria"/>
            <w:szCs w:val="23"/>
          </w:rPr>
          <w:t>Global Hunger Index</w:t>
        </w:r>
      </w:hyperlink>
      <w:r w:rsidRPr="0095223E">
        <w:rPr>
          <w:rFonts w:ascii="Cambria" w:hAnsi="Cambria"/>
        </w:rPr>
        <w:t>, more than 50 countries had levels of hunger that were “serious,” “alarming,” or even “extremely alarming.” The main hotspots for hunger and poverty are Sub-Saharan Africa and South Asia (</w:t>
      </w:r>
      <w:r w:rsidRPr="0095223E">
        <w:rPr>
          <w:rFonts w:ascii="Cambria" w:hAnsi="Cambria"/>
        </w:rPr>
        <w:fldChar w:fldCharType="begin"/>
      </w:r>
      <w:r w:rsidRPr="0095223E">
        <w:rPr>
          <w:rFonts w:ascii="Cambria" w:hAnsi="Cambria"/>
        </w:rPr>
        <w:instrText xml:space="preserve"> REF _Ref327796732 \h </w:instrText>
      </w:r>
      <w:r>
        <w:rPr>
          <w:rFonts w:ascii="Cambria" w:hAnsi="Cambria"/>
        </w:rPr>
        <w:instrText xml:space="preserve"> \* MERGEFORMAT </w:instrText>
      </w:r>
      <w:r w:rsidRPr="0095223E">
        <w:rPr>
          <w:rFonts w:ascii="Cambria" w:hAnsi="Cambria"/>
        </w:rPr>
      </w:r>
      <w:r w:rsidRPr="0095223E">
        <w:rPr>
          <w:rFonts w:ascii="Cambria" w:hAnsi="Cambria"/>
        </w:rPr>
        <w:fldChar w:fldCharType="separate"/>
      </w:r>
      <w:r w:rsidRPr="0095223E">
        <w:rPr>
          <w:rFonts w:ascii="Cambria" w:hAnsi="Cambria"/>
        </w:rPr>
        <w:t>Figure 1</w:t>
      </w:r>
      <w:r w:rsidRPr="0095223E">
        <w:rPr>
          <w:rFonts w:ascii="Cambria" w:hAnsi="Cambria"/>
        </w:rPr>
        <w:fldChar w:fldCharType="end"/>
      </w:r>
      <w:r w:rsidRPr="0095223E">
        <w:rPr>
          <w:rFonts w:ascii="Cambria" w:hAnsi="Cambria"/>
        </w:rPr>
        <w:t xml:space="preserve">, </w:t>
      </w:r>
      <w:r w:rsidRPr="0095223E">
        <w:rPr>
          <w:rFonts w:ascii="Cambria" w:hAnsi="Cambria"/>
        </w:rPr>
        <w:fldChar w:fldCharType="begin"/>
      </w:r>
      <w:r w:rsidRPr="0095223E">
        <w:rPr>
          <w:rFonts w:ascii="Cambria" w:hAnsi="Cambria"/>
        </w:rPr>
        <w:instrText xml:space="preserve"> REF _Ref329701865 \h </w:instrText>
      </w:r>
      <w:r>
        <w:rPr>
          <w:rFonts w:ascii="Cambria" w:hAnsi="Cambria"/>
        </w:rPr>
        <w:instrText xml:space="preserve"> \* MERGEFORMAT </w:instrText>
      </w:r>
      <w:r w:rsidRPr="0095223E">
        <w:rPr>
          <w:rFonts w:ascii="Cambria" w:hAnsi="Cambria"/>
        </w:rPr>
      </w:r>
      <w:r w:rsidRPr="0095223E">
        <w:rPr>
          <w:rFonts w:ascii="Cambria" w:hAnsi="Cambria"/>
        </w:rPr>
        <w:fldChar w:fldCharType="separate"/>
      </w:r>
      <w:r w:rsidRPr="0095223E">
        <w:rPr>
          <w:rFonts w:ascii="Cambria" w:hAnsi="Cambria"/>
        </w:rPr>
        <w:t>Figure 2</w:t>
      </w:r>
      <w:r w:rsidRPr="0095223E">
        <w:rPr>
          <w:rFonts w:ascii="Cambria" w:hAnsi="Cambria"/>
        </w:rPr>
        <w:fldChar w:fldCharType="end"/>
      </w:r>
      <w:r w:rsidRPr="0095223E">
        <w:rPr>
          <w:rFonts w:ascii="Cambria" w:hAnsi="Cambria"/>
        </w:rPr>
        <w:t>). It is clear that a “</w:t>
      </w:r>
      <w:hyperlink r:id="rId12" w:history="1">
        <w:r w:rsidRPr="0095223E">
          <w:rPr>
            <w:rStyle w:val="Hyperlink"/>
            <w:rFonts w:ascii="Cambria" w:hAnsi="Cambria"/>
            <w:szCs w:val="23"/>
          </w:rPr>
          <w:t>business as unusual</w:t>
        </w:r>
      </w:hyperlink>
      <w:r w:rsidRPr="0095223E">
        <w:rPr>
          <w:rFonts w:ascii="Cambria" w:hAnsi="Cambria"/>
        </w:rPr>
        <w:t xml:space="preserve">” approach—smarter, more innovative, better focused, and more cost-effective—is urgently needed. Most importantly, this approach must be driven by the countries themselves. </w:t>
      </w:r>
    </w:p>
    <w:p w:rsidR="009A1229" w:rsidRPr="0095223E" w:rsidRDefault="009A1229" w:rsidP="0095223E">
      <w:pPr>
        <w:pStyle w:val="Caption"/>
        <w:spacing w:before="0" w:after="120" w:line="240" w:lineRule="auto"/>
        <w:rPr>
          <w:rFonts w:ascii="Cambria" w:hAnsi="Cambria"/>
          <w:sz w:val="22"/>
          <w:szCs w:val="22"/>
        </w:rPr>
      </w:pPr>
      <w:bookmarkStart w:id="1" w:name="_Ref327796732"/>
      <w:bookmarkStart w:id="2" w:name="_Ref327794630"/>
      <w:r w:rsidRPr="0095223E">
        <w:rPr>
          <w:rFonts w:ascii="Cambria" w:hAnsi="Cambria"/>
          <w:sz w:val="22"/>
          <w:szCs w:val="22"/>
        </w:rPr>
        <w:t xml:space="preserve">Figure </w:t>
      </w:r>
      <w:r w:rsidRPr="0095223E">
        <w:rPr>
          <w:rFonts w:ascii="Cambria" w:hAnsi="Cambria"/>
          <w:sz w:val="22"/>
          <w:szCs w:val="22"/>
        </w:rPr>
        <w:fldChar w:fldCharType="begin"/>
      </w:r>
      <w:r w:rsidRPr="0095223E">
        <w:rPr>
          <w:rFonts w:ascii="Cambria" w:hAnsi="Cambria"/>
          <w:sz w:val="22"/>
          <w:szCs w:val="22"/>
        </w:rPr>
        <w:instrText xml:space="preserve"> SEQ Figure \* ARABIC </w:instrText>
      </w:r>
      <w:r w:rsidRPr="0095223E">
        <w:rPr>
          <w:rFonts w:ascii="Cambria" w:hAnsi="Cambria"/>
          <w:sz w:val="22"/>
          <w:szCs w:val="22"/>
        </w:rPr>
        <w:fldChar w:fldCharType="separate"/>
      </w:r>
      <w:r w:rsidRPr="0095223E">
        <w:rPr>
          <w:rFonts w:ascii="Cambria" w:hAnsi="Cambria"/>
          <w:sz w:val="22"/>
          <w:szCs w:val="22"/>
        </w:rPr>
        <w:t>1</w:t>
      </w:r>
      <w:r w:rsidRPr="0095223E">
        <w:rPr>
          <w:rFonts w:ascii="Cambria" w:hAnsi="Cambria"/>
          <w:sz w:val="22"/>
          <w:szCs w:val="22"/>
        </w:rPr>
        <w:fldChar w:fldCharType="end"/>
      </w:r>
      <w:bookmarkEnd w:id="1"/>
      <w:r w:rsidRPr="0095223E">
        <w:rPr>
          <w:rFonts w:ascii="Cambria" w:hAnsi="Cambria"/>
          <w:sz w:val="22"/>
          <w:szCs w:val="22"/>
        </w:rPr>
        <w:t xml:space="preserve">: Level of hunger in the world, by country </w:t>
      </w:r>
    </w:p>
    <w:p w:rsidR="009A1229" w:rsidRPr="00753E62" w:rsidRDefault="009A1229" w:rsidP="009A1229">
      <w:pPr>
        <w:pStyle w:val="Nospace"/>
        <w:rPr>
          <w:noProof w:val="0"/>
          <w:lang w:val="en-US"/>
        </w:rPr>
      </w:pPr>
      <w:r w:rsidRPr="00753E62">
        <w:rPr>
          <w:lang w:val="en-US" w:eastAsia="en-US"/>
        </w:rPr>
        <w:drawing>
          <wp:inline distT="0" distB="0" distL="0" distR="0" wp14:anchorId="4711D86B" wp14:editId="12A86DBF">
            <wp:extent cx="6051600" cy="2235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1600" cy="2235600"/>
                    </a:xfrm>
                    <a:prstGeom prst="rect">
                      <a:avLst/>
                    </a:prstGeom>
                    <a:noFill/>
                    <a:ln>
                      <a:noFill/>
                    </a:ln>
                  </pic:spPr>
                </pic:pic>
              </a:graphicData>
            </a:graphic>
          </wp:inline>
        </w:drawing>
      </w:r>
    </w:p>
    <w:p w:rsidR="009A1229" w:rsidRPr="0095223E" w:rsidRDefault="009A1229" w:rsidP="009A1229">
      <w:pPr>
        <w:pStyle w:val="Source"/>
        <w:rPr>
          <w:rFonts w:ascii="Cambria" w:hAnsi="Cambria"/>
        </w:rPr>
      </w:pPr>
      <w:r w:rsidRPr="0095223E">
        <w:rPr>
          <w:rFonts w:ascii="Cambria" w:hAnsi="Cambria"/>
          <w:i/>
        </w:rPr>
        <w:t>Source</w:t>
      </w:r>
      <w:r w:rsidRPr="0095223E">
        <w:rPr>
          <w:rFonts w:ascii="Cambria" w:hAnsi="Cambria"/>
        </w:rPr>
        <w:t xml:space="preserve">: </w:t>
      </w:r>
      <w:r w:rsidR="005D3FE3">
        <w:rPr>
          <w:rFonts w:ascii="Cambria" w:hAnsi="Cambria"/>
        </w:rPr>
        <w:t>von Grebmer et al. 2011</w:t>
      </w:r>
      <w:r w:rsidRPr="0095223E">
        <w:rPr>
          <w:rFonts w:ascii="Cambria" w:hAnsi="Cambria"/>
        </w:rPr>
        <w:t xml:space="preserve">. </w:t>
      </w:r>
      <w:r w:rsidR="005436B6">
        <w:rPr>
          <w:rFonts w:ascii="Cambria" w:hAnsi="Cambria"/>
        </w:rPr>
        <w:br/>
      </w:r>
      <w:r w:rsidRPr="0095223E">
        <w:rPr>
          <w:rFonts w:ascii="Cambria" w:hAnsi="Cambria"/>
          <w:i/>
        </w:rPr>
        <w:t>Note</w:t>
      </w:r>
      <w:r w:rsidRPr="0095223E">
        <w:rPr>
          <w:rFonts w:ascii="Cambria" w:hAnsi="Cambria"/>
        </w:rPr>
        <w:t xml:space="preserve">: “Hunger” measured by the composite Global Hunger Index. </w:t>
      </w:r>
    </w:p>
    <w:p w:rsidR="009A1229" w:rsidRPr="0095223E" w:rsidRDefault="009A1229" w:rsidP="0095223E">
      <w:pPr>
        <w:spacing w:after="240" w:line="240" w:lineRule="auto"/>
        <w:rPr>
          <w:rFonts w:ascii="Cambria" w:hAnsi="Cambria"/>
        </w:rPr>
      </w:pPr>
      <w:r w:rsidRPr="0095223E">
        <w:rPr>
          <w:rFonts w:ascii="Cambria" w:hAnsi="Cambria"/>
        </w:rPr>
        <w:t xml:space="preserve">Large successes in agricultural development and food and nutrition security enhancement have been country-driven. Agricultural reforms in </w:t>
      </w:r>
      <w:hyperlink r:id="rId14" w:history="1">
        <w:r w:rsidRPr="0095223E">
          <w:rPr>
            <w:rStyle w:val="Hyperlink"/>
            <w:rFonts w:ascii="Cambria" w:hAnsi="Cambria"/>
            <w:szCs w:val="23"/>
          </w:rPr>
          <w:t>China</w:t>
        </w:r>
      </w:hyperlink>
      <w:r w:rsidRPr="0095223E">
        <w:rPr>
          <w:rFonts w:ascii="Cambria" w:hAnsi="Cambria"/>
        </w:rPr>
        <w:t xml:space="preserve"> and Vietnam, the </w:t>
      </w:r>
      <w:hyperlink r:id="rId15" w:history="1">
        <w:r w:rsidRPr="0095223E">
          <w:rPr>
            <w:rStyle w:val="Hyperlink"/>
            <w:rFonts w:ascii="Cambria" w:hAnsi="Cambria"/>
            <w:szCs w:val="23"/>
          </w:rPr>
          <w:t>Green Revolution</w:t>
        </w:r>
      </w:hyperlink>
      <w:r w:rsidRPr="0095223E">
        <w:rPr>
          <w:rFonts w:ascii="Cambria" w:hAnsi="Cambria"/>
        </w:rPr>
        <w:t xml:space="preserve"> in Asia, and the recent </w:t>
      </w:r>
      <w:r w:rsidRPr="0095223E">
        <w:rPr>
          <w:rFonts w:ascii="Cambria" w:hAnsi="Cambria"/>
        </w:rPr>
        <w:lastRenderedPageBreak/>
        <w:t>surge in agricultural production and productivity in Africa—induced by increased investment in agri</w:t>
      </w:r>
      <w:r w:rsidR="00366F7A">
        <w:rPr>
          <w:rFonts w:ascii="Cambria" w:hAnsi="Cambria"/>
        </w:rPr>
        <w:softHyphen/>
      </w:r>
      <w:r w:rsidRPr="0095223E">
        <w:rPr>
          <w:rFonts w:ascii="Cambria" w:hAnsi="Cambria"/>
        </w:rPr>
        <w:t xml:space="preserve">culture—are some select examples. The success of country-owned and country-led processes hinges on a combination of good policies, increased agricultural investments, technological innovations, strong institutions, and good governance. This paper focuses on country-led innovations, agrifood value chains, reduction in postharvest losses and food waste, as well as on related capacities that are needed in developing countries. </w:t>
      </w:r>
    </w:p>
    <w:p w:rsidR="009A1229" w:rsidRPr="0095223E" w:rsidRDefault="009A1229" w:rsidP="008F3825">
      <w:pPr>
        <w:pStyle w:val="Caption"/>
        <w:spacing w:after="120"/>
        <w:rPr>
          <w:rFonts w:ascii="Cambria" w:hAnsi="Cambria"/>
          <w:sz w:val="22"/>
          <w:szCs w:val="22"/>
        </w:rPr>
      </w:pPr>
      <w:bookmarkStart w:id="3" w:name="_Ref329701865"/>
      <w:r w:rsidRPr="0095223E">
        <w:rPr>
          <w:rFonts w:ascii="Cambria" w:hAnsi="Cambria"/>
          <w:sz w:val="22"/>
          <w:szCs w:val="22"/>
        </w:rPr>
        <w:t xml:space="preserve">Figure </w:t>
      </w:r>
      <w:r w:rsidRPr="0095223E">
        <w:rPr>
          <w:rFonts w:ascii="Cambria" w:hAnsi="Cambria"/>
          <w:sz w:val="22"/>
          <w:szCs w:val="22"/>
        </w:rPr>
        <w:fldChar w:fldCharType="begin"/>
      </w:r>
      <w:r w:rsidRPr="0095223E">
        <w:rPr>
          <w:rFonts w:ascii="Cambria" w:hAnsi="Cambria"/>
          <w:sz w:val="22"/>
          <w:szCs w:val="22"/>
        </w:rPr>
        <w:instrText xml:space="preserve"> SEQ Figure \* ARABIC </w:instrText>
      </w:r>
      <w:r w:rsidRPr="0095223E">
        <w:rPr>
          <w:rFonts w:ascii="Cambria" w:hAnsi="Cambria"/>
          <w:sz w:val="22"/>
          <w:szCs w:val="22"/>
        </w:rPr>
        <w:fldChar w:fldCharType="separate"/>
      </w:r>
      <w:r w:rsidRPr="0095223E">
        <w:rPr>
          <w:rFonts w:ascii="Cambria" w:hAnsi="Cambria"/>
          <w:sz w:val="22"/>
          <w:szCs w:val="22"/>
        </w:rPr>
        <w:t>2</w:t>
      </w:r>
      <w:r w:rsidRPr="0095223E">
        <w:rPr>
          <w:rFonts w:ascii="Cambria" w:hAnsi="Cambria"/>
          <w:sz w:val="22"/>
          <w:szCs w:val="22"/>
        </w:rPr>
        <w:fldChar w:fldCharType="end"/>
      </w:r>
      <w:bookmarkEnd w:id="2"/>
      <w:bookmarkEnd w:id="3"/>
      <w:r w:rsidRPr="0095223E">
        <w:rPr>
          <w:rFonts w:ascii="Cambria" w:hAnsi="Cambria"/>
          <w:sz w:val="22"/>
          <w:szCs w:val="22"/>
        </w:rPr>
        <w:t>: Level of absolute poverty in the world, by country</w:t>
      </w:r>
    </w:p>
    <w:p w:rsidR="009A1229" w:rsidRPr="00753E62" w:rsidRDefault="009A1229" w:rsidP="009A1229">
      <w:pPr>
        <w:pStyle w:val="Nospace"/>
        <w:rPr>
          <w:noProof w:val="0"/>
          <w:lang w:val="en-US"/>
        </w:rPr>
      </w:pPr>
      <w:r w:rsidRPr="00753E62">
        <w:rPr>
          <w:lang w:val="en-US" w:eastAsia="en-US"/>
        </w:rPr>
        <w:drawing>
          <wp:inline distT="0" distB="0" distL="0" distR="0" wp14:anchorId="6286E8F0" wp14:editId="6CA33400">
            <wp:extent cx="6057900"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57900" cy="2505075"/>
                    </a:xfrm>
                    <a:prstGeom prst="rect">
                      <a:avLst/>
                    </a:prstGeom>
                    <a:noFill/>
                    <a:ln>
                      <a:noFill/>
                    </a:ln>
                  </pic:spPr>
                </pic:pic>
              </a:graphicData>
            </a:graphic>
          </wp:inline>
        </w:drawing>
      </w:r>
    </w:p>
    <w:p w:rsidR="009A1229" w:rsidRPr="0095223E" w:rsidRDefault="009A1229" w:rsidP="009A1229">
      <w:pPr>
        <w:pStyle w:val="Source"/>
        <w:rPr>
          <w:rFonts w:ascii="Cambria" w:hAnsi="Cambria"/>
        </w:rPr>
      </w:pPr>
      <w:r w:rsidRPr="0095223E">
        <w:rPr>
          <w:rFonts w:ascii="Cambria" w:hAnsi="Cambria"/>
          <w:i/>
        </w:rPr>
        <w:t>Source</w:t>
      </w:r>
      <w:r w:rsidRPr="0095223E">
        <w:rPr>
          <w:rFonts w:ascii="Cambria" w:hAnsi="Cambria"/>
        </w:rPr>
        <w:t xml:space="preserve">: </w:t>
      </w:r>
      <w:r w:rsidR="00D8515E">
        <w:rPr>
          <w:rFonts w:ascii="Cambria" w:hAnsi="Cambria"/>
        </w:rPr>
        <w:t>World Bank, 2012</w:t>
      </w:r>
      <w:r w:rsidRPr="0095223E">
        <w:rPr>
          <w:rFonts w:ascii="Cambria" w:hAnsi="Cambria"/>
        </w:rPr>
        <w:t xml:space="preserve">. </w:t>
      </w:r>
      <w:r w:rsidR="00D8515E">
        <w:rPr>
          <w:rFonts w:ascii="Cambria" w:hAnsi="Cambria"/>
        </w:rPr>
        <w:br/>
      </w:r>
      <w:r w:rsidRPr="0095223E">
        <w:rPr>
          <w:rFonts w:ascii="Cambria" w:hAnsi="Cambria"/>
          <w:i/>
        </w:rPr>
        <w:t>Note</w:t>
      </w:r>
      <w:r w:rsidRPr="0095223E">
        <w:rPr>
          <w:rFonts w:ascii="Cambria" w:hAnsi="Cambria"/>
        </w:rPr>
        <w:t xml:space="preserve">: “Absolute poverty” measured by the share of population living on less than US$1.25 (PPP) a day. </w:t>
      </w:r>
    </w:p>
    <w:p w:rsidR="009A1229" w:rsidRPr="00C52D25" w:rsidRDefault="009A1229" w:rsidP="004830B6">
      <w:pPr>
        <w:pStyle w:val="Heading1"/>
        <w:spacing w:before="240" w:after="240" w:line="240" w:lineRule="auto"/>
        <w:rPr>
          <w:rFonts w:ascii="Cambria" w:hAnsi="Cambria"/>
          <w:sz w:val="24"/>
          <w:szCs w:val="24"/>
        </w:rPr>
      </w:pPr>
      <w:r w:rsidRPr="00C52D25">
        <w:rPr>
          <w:rFonts w:ascii="Cambria" w:hAnsi="Cambria"/>
          <w:sz w:val="24"/>
          <w:szCs w:val="24"/>
        </w:rPr>
        <w:t xml:space="preserve">Investment and innovations </w:t>
      </w:r>
    </w:p>
    <w:p w:rsidR="009A1229" w:rsidRPr="0095223E" w:rsidRDefault="009A1229" w:rsidP="0095223E">
      <w:pPr>
        <w:spacing w:after="0" w:line="240" w:lineRule="auto"/>
        <w:rPr>
          <w:rFonts w:ascii="Cambria" w:hAnsi="Cambria"/>
        </w:rPr>
      </w:pPr>
      <w:r w:rsidRPr="0095223E">
        <w:rPr>
          <w:rFonts w:ascii="Cambria" w:hAnsi="Cambria"/>
        </w:rPr>
        <w:t>Increasing agricultural investments and setting-right priorities are essential to broad-based growth and poverty reduction, as in many developing countries the agricultural sector accounts for a large share of national income and employment, and poverty continues to be a largely rural phenomenon. Research has shown that spending on agriculture represents a “</w:t>
      </w:r>
      <w:hyperlink r:id="rId17" w:history="1">
        <w:r w:rsidRPr="0095223E">
          <w:rPr>
            <w:rStyle w:val="Hyperlink"/>
            <w:rFonts w:ascii="Cambria" w:hAnsi="Cambria"/>
            <w:szCs w:val="23"/>
          </w:rPr>
          <w:t>win-win</w:t>
        </w:r>
      </w:hyperlink>
      <w:r w:rsidRPr="0095223E">
        <w:rPr>
          <w:rFonts w:ascii="Cambria" w:hAnsi="Cambria"/>
        </w:rPr>
        <w:t>” strategy for development as it supports both growth and poverty reduction (</w:t>
      </w:r>
      <w:r w:rsidRPr="0095223E">
        <w:rPr>
          <w:rFonts w:ascii="Cambria" w:hAnsi="Cambria"/>
        </w:rPr>
        <w:fldChar w:fldCharType="begin"/>
      </w:r>
      <w:r w:rsidRPr="0095223E">
        <w:rPr>
          <w:rFonts w:ascii="Cambria" w:hAnsi="Cambria"/>
        </w:rPr>
        <w:instrText xml:space="preserve"> REF _Ref330557640 \h </w:instrText>
      </w:r>
      <w:r w:rsidR="006466A7">
        <w:rPr>
          <w:rFonts w:ascii="Cambria" w:hAnsi="Cambria"/>
        </w:rPr>
        <w:instrText xml:space="preserve"> \* MERGEFORMAT </w:instrText>
      </w:r>
      <w:r w:rsidRPr="0095223E">
        <w:rPr>
          <w:rFonts w:ascii="Cambria" w:hAnsi="Cambria"/>
        </w:rPr>
      </w:r>
      <w:r w:rsidRPr="0095223E">
        <w:rPr>
          <w:rFonts w:ascii="Cambria" w:hAnsi="Cambria"/>
        </w:rPr>
        <w:fldChar w:fldCharType="separate"/>
      </w:r>
      <w:r w:rsidRPr="0095223E">
        <w:rPr>
          <w:rFonts w:ascii="Cambria" w:hAnsi="Cambria"/>
        </w:rPr>
        <w:t>Table 1</w:t>
      </w:r>
      <w:r w:rsidRPr="0095223E">
        <w:rPr>
          <w:rFonts w:ascii="Cambria" w:hAnsi="Cambria"/>
        </w:rPr>
        <w:fldChar w:fldCharType="end"/>
      </w:r>
      <w:r w:rsidRPr="0095223E">
        <w:rPr>
          <w:rFonts w:ascii="Cambria" w:hAnsi="Cambria"/>
        </w:rPr>
        <w:t>). The Comprehensive Africa Agriculture Development Pro</w:t>
      </w:r>
      <w:r w:rsidR="00366F7A">
        <w:rPr>
          <w:rFonts w:ascii="Cambria" w:hAnsi="Cambria"/>
        </w:rPr>
        <w:softHyphen/>
      </w:r>
      <w:r w:rsidRPr="0095223E">
        <w:rPr>
          <w:rFonts w:ascii="Cambria" w:hAnsi="Cambria"/>
        </w:rPr>
        <w:t>gramme (</w:t>
      </w:r>
      <w:hyperlink r:id="rId18" w:history="1">
        <w:r w:rsidRPr="0095223E">
          <w:rPr>
            <w:rStyle w:val="Hyperlink"/>
            <w:rFonts w:ascii="Cambria" w:hAnsi="Cambria"/>
            <w:szCs w:val="23"/>
          </w:rPr>
          <w:t>CAADP</w:t>
        </w:r>
      </w:hyperlink>
      <w:r w:rsidRPr="0095223E">
        <w:rPr>
          <w:rFonts w:ascii="Cambria" w:hAnsi="Cambria"/>
        </w:rPr>
        <w:t xml:space="preserve">), which is supported by IFPRI, is one program that promotes evidence-based policies and agricultural investments and has made considerable </w:t>
      </w:r>
      <w:hyperlink r:id="rId19" w:history="1">
        <w:r w:rsidRPr="0095223E">
          <w:rPr>
            <w:rStyle w:val="Hyperlink"/>
            <w:rFonts w:ascii="Cambria" w:hAnsi="Cambria"/>
            <w:szCs w:val="23"/>
          </w:rPr>
          <w:t>progress</w:t>
        </w:r>
      </w:hyperlink>
      <w:r w:rsidRPr="0095223E">
        <w:rPr>
          <w:rFonts w:ascii="Cambria" w:hAnsi="Cambria"/>
        </w:rPr>
        <w:t xml:space="preserve"> over the last few years. </w:t>
      </w:r>
    </w:p>
    <w:p w:rsidR="008F3825" w:rsidRDefault="008F3825" w:rsidP="0095223E">
      <w:pPr>
        <w:spacing w:after="0" w:line="240" w:lineRule="auto"/>
        <w:rPr>
          <w:rFonts w:ascii="Cambria" w:hAnsi="Cambria"/>
        </w:rPr>
      </w:pPr>
    </w:p>
    <w:p w:rsidR="009A1229" w:rsidRDefault="009A1229" w:rsidP="0095223E">
      <w:pPr>
        <w:spacing w:after="0" w:line="240" w:lineRule="auto"/>
        <w:rPr>
          <w:rFonts w:ascii="Cambria" w:hAnsi="Cambria"/>
        </w:rPr>
      </w:pPr>
      <w:r w:rsidRPr="0095223E">
        <w:rPr>
          <w:rFonts w:ascii="Cambria" w:hAnsi="Cambria"/>
        </w:rPr>
        <w:t>Investment and innovation also have to address growing resource constraints. Among other approach</w:t>
      </w:r>
      <w:r w:rsidR="00366F7A">
        <w:rPr>
          <w:rFonts w:ascii="Cambria" w:hAnsi="Cambria"/>
        </w:rPr>
        <w:softHyphen/>
      </w:r>
      <w:r w:rsidRPr="0095223E">
        <w:rPr>
          <w:rFonts w:ascii="Cambria" w:hAnsi="Cambria"/>
        </w:rPr>
        <w:t>es, more efficient input and resource use can be achieved through improved storage, processing, and marketing facilities that reduce postharvest losses, through water conservation efforts, as well as through breeding crop varieties that are resistant to droughts and pests. In the case of the latter, inno</w:t>
      </w:r>
      <w:r w:rsidR="00366F7A">
        <w:rPr>
          <w:rFonts w:ascii="Cambria" w:hAnsi="Cambria"/>
        </w:rPr>
        <w:softHyphen/>
      </w:r>
      <w:r w:rsidRPr="0095223E">
        <w:rPr>
          <w:rFonts w:ascii="Cambria" w:hAnsi="Cambria"/>
        </w:rPr>
        <w:t>vations in biotechnology have the potential to increase crop productivity, nutritional impact, and envi</w:t>
      </w:r>
      <w:r w:rsidR="00366F7A">
        <w:rPr>
          <w:rFonts w:ascii="Cambria" w:hAnsi="Cambria"/>
        </w:rPr>
        <w:softHyphen/>
      </w:r>
      <w:r w:rsidRPr="0095223E">
        <w:rPr>
          <w:rFonts w:ascii="Cambria" w:hAnsi="Cambria"/>
        </w:rPr>
        <w:t xml:space="preserve">ronmental sustainability without the significant use of additional—and potentially harmful—inputs. </w:t>
      </w:r>
    </w:p>
    <w:p w:rsidR="006466A7" w:rsidRPr="0095223E" w:rsidRDefault="006466A7"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 xml:space="preserve">Given the need to mitigate and adapt to </w:t>
      </w:r>
      <w:hyperlink r:id="rId20" w:history="1">
        <w:r w:rsidRPr="0095223E">
          <w:rPr>
            <w:rStyle w:val="Hyperlink"/>
            <w:rFonts w:ascii="Cambria" w:hAnsi="Cambria"/>
            <w:szCs w:val="23"/>
          </w:rPr>
          <w:t>climate change</w:t>
        </w:r>
      </w:hyperlink>
      <w:r w:rsidRPr="0095223E">
        <w:rPr>
          <w:rFonts w:ascii="Cambria" w:hAnsi="Cambria"/>
        </w:rPr>
        <w:t>, technological innovations should also aim at transforming agriculture into a low-carbon sector. This includes land-management practices—such as mixed cropping, cover crops, and integrated farming—that can optimize crop productivity while limit</w:t>
      </w:r>
      <w:r w:rsidR="00366F7A">
        <w:rPr>
          <w:rFonts w:ascii="Cambria" w:hAnsi="Cambria"/>
        </w:rPr>
        <w:softHyphen/>
      </w:r>
      <w:r w:rsidRPr="0095223E">
        <w:rPr>
          <w:rFonts w:ascii="Cambria" w:hAnsi="Cambria"/>
        </w:rPr>
        <w:t>ing greenhouse gas (GHG) emissions. In this context, new approaches are also needed to help measure, track, and map GHG emissions in order to better target and monitor the mitigation potential of agri</w:t>
      </w:r>
      <w:r w:rsidR="00366F7A">
        <w:rPr>
          <w:rFonts w:ascii="Cambria" w:hAnsi="Cambria"/>
        </w:rPr>
        <w:softHyphen/>
      </w:r>
      <w:r w:rsidRPr="0095223E">
        <w:rPr>
          <w:rFonts w:ascii="Cambria" w:hAnsi="Cambria"/>
        </w:rPr>
        <w:t>culture.</w:t>
      </w:r>
    </w:p>
    <w:p w:rsidR="009A1229" w:rsidRPr="0095223E" w:rsidRDefault="009A1229" w:rsidP="004830B6">
      <w:pPr>
        <w:spacing w:before="120" w:after="0" w:line="240" w:lineRule="auto"/>
        <w:rPr>
          <w:rFonts w:ascii="Cambria" w:hAnsi="Cambria"/>
        </w:rPr>
      </w:pPr>
      <w:r w:rsidRPr="0095223E">
        <w:rPr>
          <w:rFonts w:ascii="Cambria" w:hAnsi="Cambria"/>
        </w:rPr>
        <w:lastRenderedPageBreak/>
        <w:t>Cross-sectoral impacts such as the contribution of rural roads and telecommunication (ICT) to agri</w:t>
      </w:r>
      <w:r w:rsidR="00366F7A">
        <w:rPr>
          <w:rFonts w:ascii="Cambria" w:hAnsi="Cambria"/>
        </w:rPr>
        <w:softHyphen/>
      </w:r>
      <w:r w:rsidRPr="0095223E">
        <w:rPr>
          <w:rFonts w:ascii="Cambria" w:hAnsi="Cambria"/>
        </w:rPr>
        <w:t xml:space="preserve">cultural productivity need to be exploited, too, and other development outcomes, such as nutrition and health cannot be neglected, either. In particular, ICTs can provide farmers with valuable information such as </w:t>
      </w:r>
      <w:hyperlink r:id="rId21" w:history="1">
        <w:r w:rsidRPr="0095223E">
          <w:rPr>
            <w:rStyle w:val="Hyperlink"/>
            <w:rFonts w:ascii="Cambria" w:hAnsi="Cambria"/>
            <w:szCs w:val="23"/>
          </w:rPr>
          <w:t>market prices</w:t>
        </w:r>
      </w:hyperlink>
      <w:r w:rsidRPr="0095223E">
        <w:rPr>
          <w:rFonts w:ascii="Cambria" w:hAnsi="Cambria"/>
        </w:rPr>
        <w:t xml:space="preserve"> and weather forecasts, and they can facilitate farmers’ access to much needed </w:t>
      </w:r>
      <w:hyperlink r:id="rId22" w:history="1">
        <w:r w:rsidRPr="0095223E">
          <w:rPr>
            <w:rStyle w:val="Hyperlink"/>
            <w:rFonts w:ascii="Cambria" w:hAnsi="Cambria"/>
            <w:szCs w:val="23"/>
          </w:rPr>
          <w:t>financial services</w:t>
        </w:r>
      </w:hyperlink>
      <w:r w:rsidRPr="0095223E">
        <w:rPr>
          <w:rFonts w:ascii="Cambria" w:hAnsi="Cambria"/>
        </w:rPr>
        <w:t xml:space="preserve">. Ultimately, the exact priorities depend on country-specific needs, capacities, and resources. In addition, to reduce the poor’s </w:t>
      </w:r>
      <w:hyperlink r:id="rId23" w:history="1">
        <w:r w:rsidRPr="0095223E">
          <w:rPr>
            <w:rStyle w:val="Hyperlink"/>
            <w:rFonts w:ascii="Cambria" w:hAnsi="Cambria"/>
            <w:szCs w:val="23"/>
          </w:rPr>
          <w:t>vulnerability</w:t>
        </w:r>
      </w:hyperlink>
      <w:r w:rsidRPr="0095223E">
        <w:rPr>
          <w:rFonts w:ascii="Cambria" w:hAnsi="Cambria"/>
        </w:rPr>
        <w:t xml:space="preserve"> to shocks, countries also need to expand and better target their social protection systems. Integrated programs, like Ethiopia’s Productive Safety Net Programme (PSNP), can tackle rural poverty by linking initiatives and helping poor farmers and her</w:t>
      </w:r>
      <w:r w:rsidR="00366F7A">
        <w:rPr>
          <w:rFonts w:ascii="Cambria" w:hAnsi="Cambria"/>
        </w:rPr>
        <w:softHyphen/>
      </w:r>
      <w:r w:rsidRPr="0095223E">
        <w:rPr>
          <w:rFonts w:ascii="Cambria" w:hAnsi="Cambria"/>
        </w:rPr>
        <w:t>ders build up assets and improve their productivity. Research has shown that households that bene</w:t>
      </w:r>
      <w:r w:rsidR="00366F7A">
        <w:rPr>
          <w:rFonts w:ascii="Cambria" w:hAnsi="Cambria"/>
        </w:rPr>
        <w:softHyphen/>
      </w:r>
      <w:r w:rsidRPr="0095223E">
        <w:rPr>
          <w:rFonts w:ascii="Cambria" w:hAnsi="Cambria"/>
        </w:rPr>
        <w:t>fitted from the PSNP (in combination with other social security programs) had a 10 percent higher mean caloric availability than comparison groups, and their credit use as well as their fertilizer use was 12 and 10 percentage points higher, respectively. Moreover, these households were almost 7 percent more likely to operate their own nonfarm businesses</w:t>
      </w:r>
      <w:r w:rsidR="00653F1C">
        <w:rPr>
          <w:rFonts w:ascii="Cambria" w:hAnsi="Cambria"/>
        </w:rPr>
        <w:t xml:space="preserve"> (Gilligan, Hoddinott, and Taffesse 2008)</w:t>
      </w:r>
      <w:r w:rsidRPr="0095223E">
        <w:rPr>
          <w:rFonts w:ascii="Cambria" w:hAnsi="Cambria"/>
        </w:rPr>
        <w:t xml:space="preserve">. </w:t>
      </w:r>
    </w:p>
    <w:p w:rsidR="009A1229" w:rsidRPr="0095223E" w:rsidRDefault="009A1229" w:rsidP="00653F1C">
      <w:pPr>
        <w:pStyle w:val="Caption"/>
        <w:spacing w:before="240" w:after="240" w:line="240" w:lineRule="auto"/>
        <w:rPr>
          <w:rFonts w:ascii="Cambria" w:hAnsi="Cambria"/>
          <w:sz w:val="22"/>
          <w:szCs w:val="22"/>
        </w:rPr>
      </w:pPr>
      <w:bookmarkStart w:id="4" w:name="_Ref330557640"/>
      <w:r w:rsidRPr="0095223E">
        <w:rPr>
          <w:rFonts w:ascii="Cambria" w:hAnsi="Cambria"/>
          <w:sz w:val="22"/>
          <w:szCs w:val="22"/>
        </w:rPr>
        <w:t xml:space="preserve">Table </w:t>
      </w:r>
      <w:r w:rsidRPr="0095223E">
        <w:rPr>
          <w:rFonts w:ascii="Cambria" w:hAnsi="Cambria"/>
          <w:sz w:val="22"/>
          <w:szCs w:val="22"/>
        </w:rPr>
        <w:fldChar w:fldCharType="begin"/>
      </w:r>
      <w:r w:rsidRPr="0095223E">
        <w:rPr>
          <w:rFonts w:ascii="Cambria" w:hAnsi="Cambria"/>
          <w:sz w:val="22"/>
          <w:szCs w:val="22"/>
        </w:rPr>
        <w:instrText xml:space="preserve"> SEQ Table \* ARABIC </w:instrText>
      </w:r>
      <w:r w:rsidRPr="0095223E">
        <w:rPr>
          <w:rFonts w:ascii="Cambria" w:hAnsi="Cambria"/>
          <w:sz w:val="22"/>
          <w:szCs w:val="22"/>
        </w:rPr>
        <w:fldChar w:fldCharType="separate"/>
      </w:r>
      <w:r w:rsidRPr="0095223E">
        <w:rPr>
          <w:rFonts w:ascii="Cambria" w:hAnsi="Cambria"/>
          <w:sz w:val="22"/>
          <w:szCs w:val="22"/>
        </w:rPr>
        <w:t>1</w:t>
      </w:r>
      <w:r w:rsidRPr="0095223E">
        <w:rPr>
          <w:rFonts w:ascii="Cambria" w:hAnsi="Cambria"/>
          <w:sz w:val="22"/>
          <w:szCs w:val="22"/>
        </w:rPr>
        <w:fldChar w:fldCharType="end"/>
      </w:r>
      <w:bookmarkEnd w:id="4"/>
      <w:r w:rsidRPr="0095223E">
        <w:rPr>
          <w:rFonts w:ascii="Cambria" w:hAnsi="Cambria"/>
          <w:sz w:val="22"/>
          <w:szCs w:val="22"/>
        </w:rPr>
        <w:t>: Public investment impact in a sample of developing countries</w:t>
      </w:r>
    </w:p>
    <w:tbl>
      <w:tblPr>
        <w:tblW w:w="4494" w:type="pct"/>
        <w:tblLayout w:type="fixed"/>
        <w:tblCellMar>
          <w:left w:w="115" w:type="dxa"/>
          <w:right w:w="115" w:type="dxa"/>
        </w:tblCellMar>
        <w:tblLook w:val="00A0" w:firstRow="1" w:lastRow="0" w:firstColumn="1" w:lastColumn="0" w:noHBand="0" w:noVBand="0"/>
      </w:tblPr>
      <w:tblGrid>
        <w:gridCol w:w="1298"/>
        <w:gridCol w:w="1092"/>
        <w:gridCol w:w="1093"/>
        <w:gridCol w:w="1092"/>
        <w:gridCol w:w="1093"/>
        <w:gridCol w:w="1092"/>
        <w:gridCol w:w="1093"/>
        <w:gridCol w:w="1093"/>
      </w:tblGrid>
      <w:tr w:rsidR="009A1229" w:rsidRPr="0095223E" w:rsidTr="0095223E">
        <w:trPr>
          <w:cantSplit/>
        </w:trPr>
        <w:tc>
          <w:tcPr>
            <w:tcW w:w="1251" w:type="dxa"/>
            <w:tcBorders>
              <w:top w:val="single" w:sz="4" w:space="0" w:color="auto"/>
              <w:left w:val="nil"/>
              <w:right w:val="nil"/>
            </w:tcBorders>
            <w:vAlign w:val="bottom"/>
            <w:hideMark/>
          </w:tcPr>
          <w:p w:rsidR="009A1229" w:rsidRPr="0095223E" w:rsidRDefault="009A1229" w:rsidP="00366F7A">
            <w:pPr>
              <w:pStyle w:val="Table"/>
              <w:rPr>
                <w:rFonts w:ascii="Cambria" w:hAnsi="Cambria"/>
                <w:b/>
                <w:sz w:val="24"/>
                <w:szCs w:val="24"/>
              </w:rPr>
            </w:pPr>
          </w:p>
        </w:tc>
        <w:tc>
          <w:tcPr>
            <w:tcW w:w="1052"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Ghana</w:t>
            </w:r>
          </w:p>
        </w:tc>
        <w:tc>
          <w:tcPr>
            <w:tcW w:w="1053"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Uganda</w:t>
            </w:r>
          </w:p>
        </w:tc>
        <w:tc>
          <w:tcPr>
            <w:tcW w:w="1052"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Tanzania</w:t>
            </w:r>
          </w:p>
        </w:tc>
        <w:tc>
          <w:tcPr>
            <w:tcW w:w="1053"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Ethiopia</w:t>
            </w:r>
          </w:p>
        </w:tc>
        <w:tc>
          <w:tcPr>
            <w:tcW w:w="1052"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China</w:t>
            </w:r>
          </w:p>
        </w:tc>
        <w:tc>
          <w:tcPr>
            <w:tcW w:w="1053"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India</w:t>
            </w:r>
          </w:p>
        </w:tc>
        <w:tc>
          <w:tcPr>
            <w:tcW w:w="1053" w:type="dxa"/>
            <w:tcBorders>
              <w:top w:val="single" w:sz="4" w:space="0" w:color="auto"/>
              <w:left w:val="nil"/>
              <w:bottom w:val="single" w:sz="4" w:space="0" w:color="auto"/>
              <w:right w:val="nil"/>
            </w:tcBorders>
            <w:vAlign w:val="bottom"/>
            <w:hideMark/>
          </w:tcPr>
          <w:p w:rsidR="009A1229" w:rsidRPr="0095223E" w:rsidRDefault="009A1229" w:rsidP="00366F7A">
            <w:pPr>
              <w:pStyle w:val="Table"/>
              <w:rPr>
                <w:rFonts w:ascii="Cambria" w:hAnsi="Cambria"/>
                <w:b/>
                <w:sz w:val="24"/>
                <w:szCs w:val="24"/>
              </w:rPr>
            </w:pPr>
            <w:r w:rsidRPr="0095223E">
              <w:rPr>
                <w:rFonts w:ascii="Cambria" w:hAnsi="Cambria"/>
                <w:b/>
              </w:rPr>
              <w:t>Thailand</w:t>
            </w:r>
          </w:p>
        </w:tc>
      </w:tr>
      <w:tr w:rsidR="009A1229" w:rsidRPr="0095223E" w:rsidTr="00366F7A">
        <w:trPr>
          <w:cantSplit/>
        </w:trPr>
        <w:tc>
          <w:tcPr>
            <w:tcW w:w="1251" w:type="dxa"/>
            <w:tcBorders>
              <w:left w:val="nil"/>
              <w:bottom w:val="single" w:sz="4" w:space="0" w:color="auto"/>
              <w:right w:val="nil"/>
            </w:tcBorders>
            <w:vAlign w:val="center"/>
            <w:hideMark/>
          </w:tcPr>
          <w:p w:rsidR="009A1229" w:rsidRPr="0095223E" w:rsidRDefault="009A1229" w:rsidP="00366F7A">
            <w:pPr>
              <w:pStyle w:val="Table"/>
              <w:rPr>
                <w:rFonts w:ascii="Cambria" w:hAnsi="Cambria"/>
              </w:rPr>
            </w:pPr>
            <w:r w:rsidRPr="0095223E">
              <w:rPr>
                <w:rFonts w:ascii="Cambria" w:hAnsi="Cambria"/>
              </w:rPr>
              <w:t>Sector</w:t>
            </w:r>
          </w:p>
        </w:tc>
        <w:tc>
          <w:tcPr>
            <w:tcW w:w="7368" w:type="dxa"/>
            <w:gridSpan w:val="7"/>
            <w:tcBorders>
              <w:top w:val="single" w:sz="4" w:space="0" w:color="auto"/>
              <w:left w:val="nil"/>
              <w:bottom w:val="single" w:sz="4" w:space="0" w:color="auto"/>
              <w:right w:val="nil"/>
            </w:tcBorders>
            <w:tcMar>
              <w:top w:w="14" w:type="dxa"/>
              <w:left w:w="115" w:type="dxa"/>
              <w:bottom w:w="14" w:type="dxa"/>
              <w:right w:w="115" w:type="dxa"/>
            </w:tcMar>
            <w:vAlign w:val="bottom"/>
            <w:hideMark/>
          </w:tcPr>
          <w:p w:rsidR="009A1229" w:rsidRPr="0095223E" w:rsidRDefault="009A1229" w:rsidP="00366F7A">
            <w:pPr>
              <w:pStyle w:val="Table"/>
              <w:rPr>
                <w:rFonts w:ascii="Cambria" w:hAnsi="Cambria"/>
                <w:i/>
                <w:sz w:val="24"/>
                <w:szCs w:val="24"/>
              </w:rPr>
            </w:pPr>
            <w:r w:rsidRPr="0095223E">
              <w:rPr>
                <w:rFonts w:ascii="Cambria" w:hAnsi="Cambria"/>
                <w:i/>
              </w:rPr>
              <w:t>Returns to agriculture or rural income (local currency/local currency spending)</w:t>
            </w:r>
          </w:p>
        </w:tc>
      </w:tr>
      <w:tr w:rsidR="009A1229" w:rsidRPr="0095223E" w:rsidTr="00366F7A">
        <w:trPr>
          <w:cantSplit/>
        </w:trPr>
        <w:tc>
          <w:tcPr>
            <w:tcW w:w="1251" w:type="dxa"/>
            <w:tcBorders>
              <w:top w:val="single" w:sz="4" w:space="0" w:color="auto"/>
              <w:left w:val="nil"/>
              <w:bottom w:val="nil"/>
              <w:right w:val="nil"/>
            </w:tcBorders>
            <w:hideMark/>
          </w:tcPr>
          <w:p w:rsidR="009A1229" w:rsidRPr="0095223E" w:rsidRDefault="009A1229" w:rsidP="00366F7A">
            <w:pPr>
              <w:pStyle w:val="Table"/>
              <w:rPr>
                <w:rFonts w:ascii="Cambria" w:hAnsi="Cambria"/>
                <w:sz w:val="24"/>
                <w:szCs w:val="24"/>
              </w:rPr>
            </w:pPr>
            <w:r w:rsidRPr="0095223E">
              <w:rPr>
                <w:rFonts w:ascii="Cambria" w:hAnsi="Cambria"/>
              </w:rPr>
              <w:t>Agriculture</w:t>
            </w:r>
          </w:p>
        </w:tc>
        <w:tc>
          <w:tcPr>
            <w:tcW w:w="1052"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16.8</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12.4</w:t>
            </w:r>
          </w:p>
        </w:tc>
        <w:tc>
          <w:tcPr>
            <w:tcW w:w="1052"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12.5</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0.14</w:t>
            </w:r>
          </w:p>
        </w:tc>
        <w:tc>
          <w:tcPr>
            <w:tcW w:w="1052"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6.8</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13.5</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12.6</w:t>
            </w:r>
          </w:p>
        </w:tc>
      </w:tr>
      <w:tr w:rsidR="009A1229" w:rsidRPr="0095223E" w:rsidTr="00366F7A">
        <w:trPr>
          <w:cantSplit/>
        </w:trPr>
        <w:tc>
          <w:tcPr>
            <w:tcW w:w="1251" w:type="dxa"/>
            <w:hideMark/>
          </w:tcPr>
          <w:p w:rsidR="009A1229" w:rsidRPr="0095223E" w:rsidRDefault="009A1229" w:rsidP="00366F7A">
            <w:pPr>
              <w:pStyle w:val="Table"/>
              <w:rPr>
                <w:rFonts w:ascii="Cambria" w:hAnsi="Cambria"/>
                <w:sz w:val="24"/>
                <w:szCs w:val="24"/>
              </w:rPr>
            </w:pPr>
            <w:r w:rsidRPr="0095223E">
              <w:rPr>
                <w:rFonts w:ascii="Cambria" w:hAnsi="Cambria"/>
              </w:rPr>
              <w:t>Education</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-0.2</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7.2</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9.0</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0.56</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2.2</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1.4</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2.1</w:t>
            </w:r>
          </w:p>
        </w:tc>
      </w:tr>
      <w:tr w:rsidR="009A1229" w:rsidRPr="0095223E" w:rsidTr="00366F7A">
        <w:trPr>
          <w:cantSplit/>
        </w:trPr>
        <w:tc>
          <w:tcPr>
            <w:tcW w:w="1251" w:type="dxa"/>
            <w:hideMark/>
          </w:tcPr>
          <w:p w:rsidR="009A1229" w:rsidRPr="0095223E" w:rsidRDefault="009A1229" w:rsidP="00366F7A">
            <w:pPr>
              <w:pStyle w:val="Table"/>
              <w:rPr>
                <w:rFonts w:ascii="Cambria" w:hAnsi="Cambria"/>
                <w:sz w:val="24"/>
                <w:szCs w:val="24"/>
              </w:rPr>
            </w:pPr>
            <w:r w:rsidRPr="0095223E">
              <w:rPr>
                <w:rFonts w:ascii="Cambria" w:hAnsi="Cambria"/>
              </w:rPr>
              <w:t>Health</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1.3</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0.9</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-0.03</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0.8</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r>
      <w:tr w:rsidR="009A1229" w:rsidRPr="0095223E" w:rsidTr="00366F7A">
        <w:trPr>
          <w:cantSplit/>
        </w:trPr>
        <w:tc>
          <w:tcPr>
            <w:tcW w:w="1251" w:type="dxa"/>
            <w:hideMark/>
          </w:tcPr>
          <w:p w:rsidR="009A1229" w:rsidRPr="0095223E" w:rsidRDefault="009A1229" w:rsidP="00366F7A">
            <w:pPr>
              <w:pStyle w:val="Table"/>
              <w:rPr>
                <w:rFonts w:ascii="Cambria" w:hAnsi="Cambria"/>
                <w:sz w:val="24"/>
                <w:szCs w:val="24"/>
              </w:rPr>
            </w:pPr>
            <w:r w:rsidRPr="0095223E">
              <w:rPr>
                <w:rFonts w:ascii="Cambria" w:hAnsi="Cambria"/>
              </w:rPr>
              <w:t>Roads</w:t>
            </w:r>
          </w:p>
        </w:tc>
        <w:tc>
          <w:tcPr>
            <w:tcW w:w="1052"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8.8</w:t>
            </w:r>
          </w:p>
        </w:tc>
        <w:tc>
          <w:tcPr>
            <w:tcW w:w="1053"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2.7</w:t>
            </w:r>
          </w:p>
        </w:tc>
        <w:tc>
          <w:tcPr>
            <w:tcW w:w="1052"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9.1</w:t>
            </w:r>
          </w:p>
        </w:tc>
        <w:tc>
          <w:tcPr>
            <w:tcW w:w="1053"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4.22</w:t>
            </w:r>
          </w:p>
        </w:tc>
        <w:tc>
          <w:tcPr>
            <w:tcW w:w="1052"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1.7</w:t>
            </w:r>
          </w:p>
        </w:tc>
        <w:tc>
          <w:tcPr>
            <w:tcW w:w="1053"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5.3</w:t>
            </w:r>
          </w:p>
        </w:tc>
        <w:tc>
          <w:tcPr>
            <w:tcW w:w="1053" w:type="dxa"/>
            <w:tcBorders>
              <w:top w:val="nil"/>
              <w:left w:val="nil"/>
              <w:bottom w:val="single" w:sz="4" w:space="0" w:color="auto"/>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0.9</w:t>
            </w:r>
          </w:p>
        </w:tc>
      </w:tr>
      <w:tr w:rsidR="009A1229" w:rsidRPr="0095223E" w:rsidTr="00366F7A">
        <w:trPr>
          <w:cantSplit/>
        </w:trPr>
        <w:tc>
          <w:tcPr>
            <w:tcW w:w="1251" w:type="dxa"/>
          </w:tcPr>
          <w:p w:rsidR="009A1229" w:rsidRPr="0095223E" w:rsidRDefault="009A1229" w:rsidP="00366F7A">
            <w:pPr>
              <w:pStyle w:val="Table"/>
              <w:rPr>
                <w:rFonts w:ascii="Cambria" w:hAnsi="Cambria"/>
                <w:bCs/>
                <w:i/>
                <w:sz w:val="24"/>
                <w:szCs w:val="24"/>
              </w:rPr>
            </w:pPr>
          </w:p>
        </w:tc>
        <w:tc>
          <w:tcPr>
            <w:tcW w:w="7368" w:type="dxa"/>
            <w:gridSpan w:val="7"/>
            <w:tcBorders>
              <w:top w:val="single" w:sz="4" w:space="0" w:color="auto"/>
              <w:left w:val="nil"/>
              <w:bottom w:val="single" w:sz="4" w:space="0" w:color="auto"/>
              <w:right w:val="nil"/>
            </w:tcBorders>
            <w:hideMark/>
          </w:tcPr>
          <w:p w:rsidR="009A1229" w:rsidRPr="0095223E" w:rsidRDefault="009A1229" w:rsidP="00366F7A">
            <w:pPr>
              <w:pStyle w:val="Table"/>
              <w:jc w:val="center"/>
              <w:rPr>
                <w:rFonts w:ascii="Cambria" w:hAnsi="Cambria"/>
                <w:i/>
                <w:sz w:val="24"/>
                <w:szCs w:val="24"/>
              </w:rPr>
            </w:pPr>
            <w:r w:rsidRPr="0095223E">
              <w:rPr>
                <w:rFonts w:ascii="Cambria" w:hAnsi="Cambria"/>
                <w:i/>
              </w:rPr>
              <w:t>Ranking in returns to poverty reduction</w:t>
            </w:r>
          </w:p>
        </w:tc>
      </w:tr>
      <w:tr w:rsidR="009A1229" w:rsidRPr="0095223E" w:rsidTr="00366F7A">
        <w:trPr>
          <w:cantSplit/>
        </w:trPr>
        <w:tc>
          <w:tcPr>
            <w:tcW w:w="1251" w:type="dxa"/>
            <w:hideMark/>
          </w:tcPr>
          <w:p w:rsidR="009A1229" w:rsidRPr="0095223E" w:rsidRDefault="009A1229" w:rsidP="00366F7A">
            <w:pPr>
              <w:pStyle w:val="Table"/>
              <w:rPr>
                <w:rFonts w:ascii="Cambria" w:hAnsi="Cambria"/>
                <w:sz w:val="24"/>
                <w:szCs w:val="24"/>
              </w:rPr>
            </w:pPr>
            <w:r w:rsidRPr="0095223E">
              <w:rPr>
                <w:rFonts w:ascii="Cambria" w:hAnsi="Cambria"/>
              </w:rPr>
              <w:t>Agriculture</w:t>
            </w:r>
          </w:p>
        </w:tc>
        <w:tc>
          <w:tcPr>
            <w:tcW w:w="1052"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w:t>
            </w:r>
          </w:p>
        </w:tc>
        <w:tc>
          <w:tcPr>
            <w:tcW w:w="1052"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2</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2"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2</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2</w:t>
            </w:r>
          </w:p>
        </w:tc>
        <w:tc>
          <w:tcPr>
            <w:tcW w:w="1053" w:type="dxa"/>
            <w:tcBorders>
              <w:top w:val="single" w:sz="4" w:space="0" w:color="auto"/>
              <w:left w:val="nil"/>
              <w:bottom w:val="nil"/>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w:t>
            </w:r>
          </w:p>
        </w:tc>
      </w:tr>
      <w:tr w:rsidR="009A1229" w:rsidRPr="0095223E" w:rsidTr="00366F7A">
        <w:trPr>
          <w:cantSplit/>
        </w:trPr>
        <w:tc>
          <w:tcPr>
            <w:tcW w:w="1251" w:type="dxa"/>
            <w:hideMark/>
          </w:tcPr>
          <w:p w:rsidR="009A1229" w:rsidRPr="0095223E" w:rsidRDefault="009A1229" w:rsidP="00366F7A">
            <w:pPr>
              <w:pStyle w:val="Table"/>
              <w:rPr>
                <w:rFonts w:ascii="Cambria" w:hAnsi="Cambria"/>
                <w:sz w:val="24"/>
                <w:szCs w:val="24"/>
              </w:rPr>
            </w:pPr>
            <w:r w:rsidRPr="0095223E">
              <w:rPr>
                <w:rFonts w:ascii="Cambria" w:hAnsi="Cambria"/>
              </w:rPr>
              <w:t>Education</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3</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1</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1</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3</w:t>
            </w:r>
          </w:p>
        </w:tc>
        <w:tc>
          <w:tcPr>
            <w:tcW w:w="1053" w:type="dxa"/>
            <w:vAlign w:val="center"/>
            <w:hideMark/>
          </w:tcPr>
          <w:p w:rsidR="009A1229" w:rsidRPr="0095223E" w:rsidRDefault="009A1229" w:rsidP="00366F7A">
            <w:pPr>
              <w:pStyle w:val="Table"/>
              <w:jc w:val="center"/>
              <w:rPr>
                <w:rFonts w:ascii="Cambria" w:hAnsi="Cambria"/>
                <w:sz w:val="24"/>
                <w:szCs w:val="24"/>
              </w:rPr>
            </w:pPr>
            <w:r w:rsidRPr="0095223E">
              <w:rPr>
                <w:rFonts w:ascii="Cambria" w:hAnsi="Cambria"/>
              </w:rPr>
              <w:t>3</w:t>
            </w:r>
          </w:p>
        </w:tc>
      </w:tr>
      <w:tr w:rsidR="009A1229" w:rsidRPr="0095223E" w:rsidTr="00366F7A">
        <w:trPr>
          <w:cantSplit/>
        </w:trPr>
        <w:tc>
          <w:tcPr>
            <w:tcW w:w="1251" w:type="dxa"/>
            <w:hideMark/>
          </w:tcPr>
          <w:p w:rsidR="009A1229" w:rsidRPr="0095223E" w:rsidRDefault="009A1229" w:rsidP="00366F7A">
            <w:pPr>
              <w:pStyle w:val="Table"/>
              <w:rPr>
                <w:rFonts w:ascii="Cambria" w:hAnsi="Cambria"/>
                <w:sz w:val="24"/>
                <w:szCs w:val="24"/>
              </w:rPr>
            </w:pPr>
            <w:r w:rsidRPr="0095223E">
              <w:rPr>
                <w:rFonts w:ascii="Cambria" w:hAnsi="Cambria"/>
              </w:rPr>
              <w:t>Health</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4</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2"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4</w:t>
            </w:r>
          </w:p>
        </w:tc>
        <w:tc>
          <w:tcPr>
            <w:tcW w:w="1053" w:type="dxa"/>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r>
      <w:tr w:rsidR="009A1229" w:rsidRPr="0095223E" w:rsidTr="00366F7A">
        <w:trPr>
          <w:cantSplit/>
        </w:trPr>
        <w:tc>
          <w:tcPr>
            <w:tcW w:w="1251" w:type="dxa"/>
            <w:tcBorders>
              <w:top w:val="nil"/>
              <w:left w:val="nil"/>
              <w:bottom w:val="single" w:sz="4" w:space="0" w:color="000000"/>
              <w:right w:val="nil"/>
            </w:tcBorders>
            <w:hideMark/>
          </w:tcPr>
          <w:p w:rsidR="009A1229" w:rsidRPr="0095223E" w:rsidRDefault="009A1229" w:rsidP="00366F7A">
            <w:pPr>
              <w:pStyle w:val="Table"/>
              <w:rPr>
                <w:rFonts w:ascii="Cambria" w:hAnsi="Cambria"/>
                <w:sz w:val="24"/>
                <w:szCs w:val="24"/>
              </w:rPr>
            </w:pPr>
            <w:r w:rsidRPr="0095223E">
              <w:rPr>
                <w:rFonts w:ascii="Cambria" w:hAnsi="Cambria"/>
              </w:rPr>
              <w:t>Roads</w:t>
            </w:r>
          </w:p>
        </w:tc>
        <w:tc>
          <w:tcPr>
            <w:tcW w:w="1052"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3"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2</w:t>
            </w:r>
          </w:p>
        </w:tc>
        <w:tc>
          <w:tcPr>
            <w:tcW w:w="1052"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3</w:t>
            </w:r>
          </w:p>
        </w:tc>
        <w:tc>
          <w:tcPr>
            <w:tcW w:w="1053"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n.e.</w:t>
            </w:r>
          </w:p>
        </w:tc>
        <w:tc>
          <w:tcPr>
            <w:tcW w:w="1052"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3</w:t>
            </w:r>
          </w:p>
        </w:tc>
        <w:tc>
          <w:tcPr>
            <w:tcW w:w="1053"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1</w:t>
            </w:r>
          </w:p>
        </w:tc>
        <w:tc>
          <w:tcPr>
            <w:tcW w:w="1053" w:type="dxa"/>
            <w:tcBorders>
              <w:top w:val="nil"/>
              <w:left w:val="nil"/>
              <w:bottom w:val="single" w:sz="4" w:space="0" w:color="000000"/>
              <w:right w:val="nil"/>
            </w:tcBorders>
            <w:hideMark/>
          </w:tcPr>
          <w:p w:rsidR="009A1229" w:rsidRPr="0095223E" w:rsidRDefault="009A1229" w:rsidP="00366F7A">
            <w:pPr>
              <w:pStyle w:val="Table"/>
              <w:jc w:val="center"/>
              <w:rPr>
                <w:rFonts w:ascii="Cambria" w:hAnsi="Cambria"/>
                <w:sz w:val="24"/>
                <w:szCs w:val="24"/>
              </w:rPr>
            </w:pPr>
            <w:r w:rsidRPr="0095223E">
              <w:rPr>
                <w:rFonts w:ascii="Cambria" w:hAnsi="Cambria"/>
              </w:rPr>
              <w:t>2</w:t>
            </w:r>
          </w:p>
        </w:tc>
      </w:tr>
    </w:tbl>
    <w:p w:rsidR="009A1229" w:rsidRPr="0095223E" w:rsidRDefault="009A1229" w:rsidP="009A1229">
      <w:pPr>
        <w:pStyle w:val="Table"/>
        <w:rPr>
          <w:rFonts w:ascii="Cambria" w:hAnsi="Cambria"/>
        </w:rPr>
        <w:sectPr w:rsidR="009A1229" w:rsidRPr="0095223E" w:rsidSect="004830B6">
          <w:footerReference w:type="default" r:id="rId24"/>
          <w:footerReference w:type="first" r:id="rId25"/>
          <w:endnotePr>
            <w:numFmt w:val="decimal"/>
          </w:endnotePr>
          <w:pgSz w:w="12240" w:h="15840" w:code="1"/>
          <w:pgMar w:top="1440" w:right="1077" w:bottom="1077" w:left="1440" w:header="720" w:footer="284" w:gutter="0"/>
          <w:cols w:space="432"/>
          <w:titlePg/>
          <w:docGrid w:linePitch="360"/>
        </w:sectPr>
      </w:pPr>
    </w:p>
    <w:p w:rsidR="009A1229" w:rsidRPr="0095223E" w:rsidRDefault="009A1229" w:rsidP="009A1229">
      <w:pPr>
        <w:pStyle w:val="Source"/>
        <w:rPr>
          <w:rFonts w:ascii="Cambria" w:hAnsi="Cambria"/>
        </w:rPr>
      </w:pPr>
      <w:r w:rsidRPr="0095223E">
        <w:rPr>
          <w:rFonts w:ascii="Cambria" w:hAnsi="Cambria"/>
          <w:i/>
        </w:rPr>
        <w:lastRenderedPageBreak/>
        <w:t>Source</w:t>
      </w:r>
      <w:r w:rsidRPr="0095223E">
        <w:rPr>
          <w:rFonts w:ascii="Cambria" w:hAnsi="Cambria"/>
        </w:rPr>
        <w:t xml:space="preserve">: </w:t>
      </w:r>
      <w:r w:rsidR="00653F1C">
        <w:rPr>
          <w:rFonts w:ascii="Cambria" w:hAnsi="Cambria"/>
        </w:rPr>
        <w:t>Fan, 2011</w:t>
      </w:r>
      <w:r w:rsidRPr="0095223E">
        <w:rPr>
          <w:rFonts w:ascii="Cambria" w:hAnsi="Cambria"/>
        </w:rPr>
        <w:t xml:space="preserve">. </w:t>
      </w:r>
    </w:p>
    <w:p w:rsidR="009A1229" w:rsidRPr="00C52D25" w:rsidRDefault="009A1229" w:rsidP="0095223E">
      <w:pPr>
        <w:pStyle w:val="Heading1"/>
        <w:spacing w:before="240" w:after="240" w:line="240" w:lineRule="auto"/>
        <w:rPr>
          <w:rFonts w:ascii="Cambria" w:hAnsi="Cambria"/>
          <w:sz w:val="24"/>
          <w:szCs w:val="24"/>
        </w:rPr>
      </w:pPr>
      <w:r w:rsidRPr="00C52D25">
        <w:rPr>
          <w:rFonts w:ascii="Cambria" w:hAnsi="Cambria"/>
          <w:sz w:val="24"/>
          <w:szCs w:val="24"/>
        </w:rPr>
        <w:t xml:space="preserve">Agrifood value chains </w:t>
      </w:r>
    </w:p>
    <w:p w:rsidR="009A1229" w:rsidRPr="0095223E" w:rsidRDefault="009A1229" w:rsidP="0095223E">
      <w:pPr>
        <w:spacing w:after="0" w:line="240" w:lineRule="auto"/>
        <w:rPr>
          <w:rFonts w:ascii="Cambria" w:hAnsi="Cambria"/>
        </w:rPr>
      </w:pPr>
      <w:r w:rsidRPr="0095223E">
        <w:rPr>
          <w:rFonts w:ascii="Cambria" w:hAnsi="Cambria"/>
        </w:rPr>
        <w:t>Over the past years a value chain approach to development—ranging from inputs supply, extension, market services, financing, production, processing, and distribution to marketing (</w:t>
      </w:r>
      <w:r w:rsidRPr="0095223E">
        <w:rPr>
          <w:rFonts w:ascii="Cambria" w:hAnsi="Cambria"/>
          <w:highlight w:val="yellow"/>
        </w:rPr>
        <w:fldChar w:fldCharType="begin"/>
      </w:r>
      <w:r w:rsidRPr="0095223E">
        <w:rPr>
          <w:rFonts w:ascii="Cambria" w:hAnsi="Cambria"/>
        </w:rPr>
        <w:instrText xml:space="preserve"> REF _Ref329079111 \h </w:instrText>
      </w:r>
      <w:r w:rsidR="006466A7">
        <w:rPr>
          <w:rFonts w:ascii="Cambria" w:hAnsi="Cambria"/>
          <w:highlight w:val="yellow"/>
        </w:rPr>
        <w:instrText xml:space="preserve"> \* MERGEFORMAT </w:instrText>
      </w:r>
      <w:r w:rsidRPr="0095223E">
        <w:rPr>
          <w:rFonts w:ascii="Cambria" w:hAnsi="Cambria"/>
          <w:highlight w:val="yellow"/>
        </w:rPr>
      </w:r>
      <w:r w:rsidRPr="0095223E">
        <w:rPr>
          <w:rFonts w:ascii="Cambria" w:hAnsi="Cambria"/>
          <w:highlight w:val="yellow"/>
        </w:rPr>
        <w:fldChar w:fldCharType="separate"/>
      </w:r>
      <w:r w:rsidRPr="0095223E">
        <w:rPr>
          <w:rFonts w:ascii="Cambria" w:hAnsi="Cambria"/>
        </w:rPr>
        <w:t>Figure 3</w:t>
      </w:r>
      <w:r w:rsidRPr="0095223E">
        <w:rPr>
          <w:rFonts w:ascii="Cambria" w:hAnsi="Cambria"/>
          <w:highlight w:val="yellow"/>
        </w:rPr>
        <w:fldChar w:fldCharType="end"/>
      </w:r>
      <w:r w:rsidRPr="0095223E">
        <w:rPr>
          <w:rFonts w:ascii="Cambria" w:hAnsi="Cambria"/>
        </w:rPr>
        <w:t>)—has in</w:t>
      </w:r>
      <w:r w:rsidR="00366F7A">
        <w:rPr>
          <w:rFonts w:ascii="Cambria" w:hAnsi="Cambria"/>
        </w:rPr>
        <w:softHyphen/>
      </w:r>
      <w:r w:rsidRPr="0095223E">
        <w:rPr>
          <w:rFonts w:ascii="Cambria" w:hAnsi="Cambria"/>
        </w:rPr>
        <w:t>creasingly been adopted by governments, donors, nongovernmental organizations, and development initiatives to promote market-oriented growth, and to reduce rural poverty in developing countries. At the same time agrifood value chains in developing countries are changing rapidly as these countries’ populations grow, get richer, and become more urban, with supermarkets, distribution, wholesaling firms, processors, and agro-exporters expanding and changing the marketing channels in which small</w:t>
      </w:r>
      <w:r w:rsidR="00366F7A">
        <w:rPr>
          <w:rFonts w:ascii="Cambria" w:hAnsi="Cambria"/>
        </w:rPr>
        <w:softHyphen/>
      </w:r>
      <w:r w:rsidRPr="0095223E">
        <w:rPr>
          <w:rFonts w:ascii="Cambria" w:hAnsi="Cambria"/>
        </w:rPr>
        <w:t>holders participate both as farmers and as consumers</w:t>
      </w:r>
      <w:r w:rsidR="00B16BFE">
        <w:rPr>
          <w:rFonts w:ascii="Cambria" w:hAnsi="Cambria"/>
        </w:rPr>
        <w:t xml:space="preserve"> (Humphrey and Navas-Alem</w:t>
      </w:r>
      <w:r w:rsidR="0027718C">
        <w:rPr>
          <w:rFonts w:ascii="Cambria" w:hAnsi="Cambria"/>
        </w:rPr>
        <w:t>á</w:t>
      </w:r>
      <w:r w:rsidR="00B16BFE">
        <w:rPr>
          <w:rFonts w:ascii="Cambria" w:hAnsi="Cambria"/>
        </w:rPr>
        <w:t>n 2010</w:t>
      </w:r>
      <w:r w:rsidR="00366F7A">
        <w:rPr>
          <w:rFonts w:ascii="Cambria" w:hAnsi="Cambria"/>
        </w:rPr>
        <w:t>; Gómez et </w:t>
      </w:r>
      <w:r w:rsidR="00365003">
        <w:rPr>
          <w:rFonts w:ascii="Cambria" w:hAnsi="Cambria"/>
        </w:rPr>
        <w:t>al. 2011</w:t>
      </w:r>
      <w:r w:rsidR="00B16BFE">
        <w:rPr>
          <w:rFonts w:ascii="Cambria" w:hAnsi="Cambria"/>
        </w:rPr>
        <w:t>)</w:t>
      </w:r>
      <w:r w:rsidRPr="0095223E">
        <w:rPr>
          <w:rFonts w:ascii="Cambria" w:hAnsi="Cambria"/>
        </w:rPr>
        <w:t xml:space="preserve">. </w:t>
      </w:r>
    </w:p>
    <w:p w:rsidR="0075788D" w:rsidRDefault="0075788D"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Given that market failures often prevail, the value chain approach may not always be beneficial for all farmers, and so before taking action, policymakers should consider potential winners and losers in each case. Companies tend to contract with larger farmers first, and source from smallholders only where these dominate production—and then their preference is farmers with certain nonland assets, such as irrigation or access to paved roads. Yet, if deemed expedient, companies use “resource-provision con</w:t>
      </w:r>
      <w:r w:rsidR="00366F7A">
        <w:rPr>
          <w:rFonts w:ascii="Cambria" w:hAnsi="Cambria"/>
        </w:rPr>
        <w:softHyphen/>
      </w:r>
      <w:r w:rsidRPr="0095223E">
        <w:rPr>
          <w:rFonts w:ascii="Cambria" w:hAnsi="Cambria"/>
        </w:rPr>
        <w:t>tracts” to address credit, input, or extension constraints, which can help smallholders</w:t>
      </w:r>
      <w:r w:rsidR="00057640">
        <w:rPr>
          <w:rFonts w:ascii="Cambria" w:hAnsi="Cambria"/>
        </w:rPr>
        <w:t xml:space="preserve"> (Reardon et al. 2009)</w:t>
      </w:r>
      <w:r w:rsidRPr="0095223E">
        <w:rPr>
          <w:rFonts w:ascii="Cambria" w:hAnsi="Cambria"/>
        </w:rPr>
        <w:t xml:space="preserve">. </w:t>
      </w:r>
    </w:p>
    <w:p w:rsidR="009A1229" w:rsidRPr="0095223E" w:rsidRDefault="009A1229" w:rsidP="009A1229">
      <w:pPr>
        <w:pStyle w:val="Caption"/>
        <w:rPr>
          <w:rFonts w:ascii="Cambria" w:hAnsi="Cambria"/>
          <w:sz w:val="22"/>
          <w:szCs w:val="22"/>
        </w:rPr>
      </w:pPr>
      <w:bookmarkStart w:id="5" w:name="_Ref329079111"/>
      <w:r w:rsidRPr="0095223E">
        <w:rPr>
          <w:rFonts w:ascii="Cambria" w:hAnsi="Cambria"/>
          <w:sz w:val="22"/>
          <w:szCs w:val="22"/>
        </w:rPr>
        <w:lastRenderedPageBreak/>
        <w:t xml:space="preserve">Figure </w:t>
      </w:r>
      <w:r w:rsidRPr="0095223E">
        <w:rPr>
          <w:rFonts w:ascii="Cambria" w:hAnsi="Cambria"/>
          <w:sz w:val="22"/>
          <w:szCs w:val="22"/>
        </w:rPr>
        <w:fldChar w:fldCharType="begin"/>
      </w:r>
      <w:r w:rsidRPr="0095223E">
        <w:rPr>
          <w:rFonts w:ascii="Cambria" w:hAnsi="Cambria"/>
          <w:sz w:val="22"/>
          <w:szCs w:val="22"/>
        </w:rPr>
        <w:instrText xml:space="preserve"> SEQ Figure \* ARABIC </w:instrText>
      </w:r>
      <w:r w:rsidRPr="0095223E">
        <w:rPr>
          <w:rFonts w:ascii="Cambria" w:hAnsi="Cambria"/>
          <w:sz w:val="22"/>
          <w:szCs w:val="22"/>
        </w:rPr>
        <w:fldChar w:fldCharType="separate"/>
      </w:r>
      <w:r w:rsidRPr="0095223E">
        <w:rPr>
          <w:rFonts w:ascii="Cambria" w:hAnsi="Cambria"/>
          <w:sz w:val="22"/>
          <w:szCs w:val="22"/>
        </w:rPr>
        <w:t>3</w:t>
      </w:r>
      <w:r w:rsidRPr="0095223E">
        <w:rPr>
          <w:rFonts w:ascii="Cambria" w:hAnsi="Cambria"/>
          <w:sz w:val="22"/>
          <w:szCs w:val="22"/>
        </w:rPr>
        <w:fldChar w:fldCharType="end"/>
      </w:r>
      <w:bookmarkEnd w:id="5"/>
      <w:r w:rsidRPr="0095223E">
        <w:rPr>
          <w:rFonts w:ascii="Cambria" w:hAnsi="Cambria"/>
          <w:sz w:val="22"/>
          <w:szCs w:val="22"/>
        </w:rPr>
        <w:t xml:space="preserve">: Representation of a food supply chain </w:t>
      </w:r>
    </w:p>
    <w:p w:rsidR="009A1229" w:rsidRPr="00753E62" w:rsidRDefault="009A1229" w:rsidP="009A1229">
      <w:pPr>
        <w:pStyle w:val="Nospace"/>
        <w:rPr>
          <w:noProof w:val="0"/>
          <w:lang w:val="en-US"/>
        </w:rPr>
      </w:pPr>
      <w:r w:rsidRPr="00753E62">
        <w:rPr>
          <w:lang w:val="en-US" w:eastAsia="en-US"/>
        </w:rPr>
        <w:drawing>
          <wp:inline distT="0" distB="0" distL="0" distR="0" wp14:anchorId="4C0EC4A8" wp14:editId="6D9B4702">
            <wp:extent cx="4435787" cy="4299045"/>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444022" cy="4307026"/>
                    </a:xfrm>
                    <a:prstGeom prst="rect">
                      <a:avLst/>
                    </a:prstGeom>
                    <a:noFill/>
                    <a:ln>
                      <a:noFill/>
                    </a:ln>
                  </pic:spPr>
                </pic:pic>
              </a:graphicData>
            </a:graphic>
          </wp:inline>
        </w:drawing>
      </w:r>
    </w:p>
    <w:p w:rsidR="009A1229" w:rsidRPr="0095223E" w:rsidRDefault="009A1229" w:rsidP="0095223E">
      <w:pPr>
        <w:pStyle w:val="Source"/>
        <w:spacing w:before="0" w:after="0" w:line="240" w:lineRule="auto"/>
        <w:rPr>
          <w:rFonts w:ascii="Cambria" w:hAnsi="Cambria"/>
          <w:szCs w:val="18"/>
        </w:rPr>
      </w:pPr>
      <w:r w:rsidRPr="0095223E">
        <w:rPr>
          <w:rFonts w:ascii="Cambria" w:hAnsi="Cambria"/>
          <w:i/>
          <w:szCs w:val="18"/>
        </w:rPr>
        <w:t>Source</w:t>
      </w:r>
      <w:r w:rsidRPr="0095223E">
        <w:rPr>
          <w:rFonts w:ascii="Cambria" w:hAnsi="Cambria"/>
          <w:szCs w:val="18"/>
        </w:rPr>
        <w:t xml:space="preserve">: </w:t>
      </w:r>
      <w:r w:rsidR="00CD72D6">
        <w:rPr>
          <w:rFonts w:ascii="Cambria" w:hAnsi="Cambria"/>
          <w:szCs w:val="18"/>
        </w:rPr>
        <w:t>Hawkes and Ruel, 2011</w:t>
      </w:r>
      <w:r w:rsidRPr="0095223E">
        <w:rPr>
          <w:rFonts w:ascii="Cambria" w:hAnsi="Cambria"/>
          <w:szCs w:val="18"/>
        </w:rPr>
        <w:t xml:space="preserve">. </w:t>
      </w:r>
    </w:p>
    <w:p w:rsidR="00B71F63" w:rsidRDefault="00B71F63" w:rsidP="0095223E">
      <w:pPr>
        <w:spacing w:after="0" w:line="240" w:lineRule="auto"/>
        <w:rPr>
          <w:rFonts w:ascii="Cambria" w:hAnsi="Cambria"/>
        </w:rPr>
      </w:pPr>
    </w:p>
    <w:p w:rsidR="00FC1CAD" w:rsidRDefault="00FC1CAD"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 xml:space="preserve">The lessons of selected studies by IFPRI authors or affiliated researchers are summarized in </w:t>
      </w:r>
      <w:r w:rsidRPr="0095223E">
        <w:rPr>
          <w:rFonts w:ascii="Cambria" w:hAnsi="Cambria"/>
        </w:rPr>
        <w:fldChar w:fldCharType="begin"/>
      </w:r>
      <w:r w:rsidRPr="0095223E">
        <w:rPr>
          <w:rFonts w:ascii="Cambria" w:hAnsi="Cambria"/>
        </w:rPr>
        <w:instrText xml:space="preserve"> REF _Ref331163184 \h </w:instrText>
      </w:r>
      <w:r w:rsidR="00E36280" w:rsidRPr="0095223E">
        <w:rPr>
          <w:rFonts w:ascii="Cambria" w:hAnsi="Cambria"/>
        </w:rPr>
        <w:instrText xml:space="preserve"> \* MERGEFORMAT </w:instrText>
      </w:r>
      <w:r w:rsidRPr="0095223E">
        <w:rPr>
          <w:rFonts w:ascii="Cambria" w:hAnsi="Cambria"/>
        </w:rPr>
      </w:r>
      <w:r w:rsidRPr="0095223E">
        <w:rPr>
          <w:rFonts w:ascii="Cambria" w:hAnsi="Cambria"/>
        </w:rPr>
        <w:fldChar w:fldCharType="separate"/>
      </w:r>
      <w:r w:rsidRPr="0095223E">
        <w:rPr>
          <w:rFonts w:ascii="Cambria" w:hAnsi="Cambria"/>
        </w:rPr>
        <w:t>Table 2</w:t>
      </w:r>
      <w:r w:rsidRPr="0095223E">
        <w:rPr>
          <w:rFonts w:ascii="Cambria" w:hAnsi="Cambria"/>
        </w:rPr>
        <w:fldChar w:fldCharType="end"/>
      </w:r>
      <w:r w:rsidRPr="0095223E">
        <w:rPr>
          <w:rFonts w:ascii="Cambria" w:hAnsi="Cambria"/>
        </w:rPr>
        <w:t xml:space="preserve">. Apart from addressing input and infrastructure constraints, collective action by producers, public-private partnerships, and market deregulation are the measures that are most promising in helping integrate smallholders into agrifood value chains and in addressing other demands on modern food value chains, such as improving food quality and food safety, especially of perishable products. </w:t>
      </w:r>
    </w:p>
    <w:p w:rsidR="00904AD0" w:rsidRDefault="00904AD0" w:rsidP="0095223E">
      <w:pPr>
        <w:spacing w:after="0" w:line="240" w:lineRule="auto"/>
        <w:rPr>
          <w:rFonts w:ascii="Cambria" w:hAnsi="Cambria"/>
        </w:rPr>
      </w:pPr>
    </w:p>
    <w:p w:rsidR="009A1229" w:rsidRPr="00753E62" w:rsidRDefault="009A1229" w:rsidP="0095223E">
      <w:pPr>
        <w:spacing w:after="0" w:line="240" w:lineRule="auto"/>
        <w:sectPr w:rsidR="009A1229" w:rsidRPr="00753E62" w:rsidSect="00366F7A">
          <w:footerReference w:type="default" r:id="rId27"/>
          <w:endnotePr>
            <w:numFmt w:val="decimal"/>
          </w:endnotePr>
          <w:type w:val="continuous"/>
          <w:pgSz w:w="12240" w:h="15840" w:code="1"/>
          <w:pgMar w:top="1440" w:right="1077" w:bottom="1077" w:left="1440" w:header="720" w:footer="284" w:gutter="0"/>
          <w:cols w:space="720"/>
          <w:titlePg/>
          <w:docGrid w:linePitch="360"/>
        </w:sectPr>
      </w:pPr>
      <w:r w:rsidRPr="0095223E">
        <w:rPr>
          <w:rFonts w:ascii="Cambria" w:hAnsi="Cambria"/>
        </w:rPr>
        <w:t>To date, only a limited number of impact assessments have been carried out to analyze poverty alle</w:t>
      </w:r>
      <w:r w:rsidR="00366F7A">
        <w:rPr>
          <w:rFonts w:ascii="Cambria" w:hAnsi="Cambria"/>
        </w:rPr>
        <w:softHyphen/>
      </w:r>
      <w:r w:rsidRPr="0095223E">
        <w:rPr>
          <w:rFonts w:ascii="Cambria" w:hAnsi="Cambria"/>
        </w:rPr>
        <w:t>viation through value chain interventions, and often it is unclear whether the interventions were responsible for observed improvements, whether the interventions benefited the poor disproportion</w:t>
      </w:r>
      <w:r w:rsidR="00366F7A">
        <w:rPr>
          <w:rFonts w:ascii="Cambria" w:hAnsi="Cambria"/>
        </w:rPr>
        <w:softHyphen/>
      </w:r>
      <w:r w:rsidRPr="0095223E">
        <w:rPr>
          <w:rFonts w:ascii="Cambria" w:hAnsi="Cambria"/>
        </w:rPr>
        <w:t>ately, or whether they were more cost-effective than alternative approaches. Since most empirical studies of the welfare effects of agricultural value chains have struggled to establish causality, it is therefore necessary to carry out additional analyses and systematic impact assessments at the program level to develop a stronger evidence base, and to explore long-term effects of smallholder participation in value chains</w:t>
      </w:r>
      <w:r w:rsidR="00F86084">
        <w:rPr>
          <w:rFonts w:ascii="Cambria" w:hAnsi="Cambria"/>
        </w:rPr>
        <w:t xml:space="preserve"> (Humphrey and Navas-Alemán 2010)</w:t>
      </w:r>
      <w:r w:rsidRPr="0095223E">
        <w:rPr>
          <w:rFonts w:ascii="Cambria" w:hAnsi="Cambria"/>
        </w:rPr>
        <w:t>.</w:t>
      </w:r>
      <w:r w:rsidR="00F86084" w:rsidRPr="00753E62">
        <w:t xml:space="preserve"> </w:t>
      </w:r>
    </w:p>
    <w:p w:rsidR="009A1229" w:rsidRPr="0095223E" w:rsidRDefault="009A1229" w:rsidP="009A1229">
      <w:pPr>
        <w:pStyle w:val="Caption"/>
        <w:rPr>
          <w:rFonts w:ascii="Cambria" w:hAnsi="Cambria"/>
          <w:sz w:val="22"/>
          <w:szCs w:val="22"/>
        </w:rPr>
      </w:pPr>
      <w:bookmarkStart w:id="6" w:name="_Ref331163184"/>
      <w:r w:rsidRPr="0095223E">
        <w:rPr>
          <w:rFonts w:ascii="Cambria" w:hAnsi="Cambria"/>
          <w:sz w:val="22"/>
          <w:szCs w:val="22"/>
        </w:rPr>
        <w:lastRenderedPageBreak/>
        <w:t xml:space="preserve">Table </w:t>
      </w:r>
      <w:r w:rsidRPr="0095223E">
        <w:rPr>
          <w:rFonts w:ascii="Cambria" w:hAnsi="Cambria"/>
          <w:sz w:val="22"/>
          <w:szCs w:val="22"/>
        </w:rPr>
        <w:fldChar w:fldCharType="begin"/>
      </w:r>
      <w:r w:rsidRPr="0095223E">
        <w:rPr>
          <w:rFonts w:ascii="Cambria" w:hAnsi="Cambria"/>
          <w:sz w:val="22"/>
          <w:szCs w:val="22"/>
        </w:rPr>
        <w:instrText xml:space="preserve"> SEQ Table \* ARABIC </w:instrText>
      </w:r>
      <w:r w:rsidRPr="0095223E">
        <w:rPr>
          <w:rFonts w:ascii="Cambria" w:hAnsi="Cambria"/>
          <w:sz w:val="22"/>
          <w:szCs w:val="22"/>
        </w:rPr>
        <w:fldChar w:fldCharType="separate"/>
      </w:r>
      <w:r w:rsidRPr="0095223E">
        <w:rPr>
          <w:rFonts w:ascii="Cambria" w:hAnsi="Cambria"/>
          <w:sz w:val="22"/>
          <w:szCs w:val="22"/>
        </w:rPr>
        <w:t>2</w:t>
      </w:r>
      <w:r w:rsidRPr="0095223E">
        <w:rPr>
          <w:rFonts w:ascii="Cambria" w:hAnsi="Cambria"/>
          <w:sz w:val="22"/>
          <w:szCs w:val="22"/>
        </w:rPr>
        <w:fldChar w:fldCharType="end"/>
      </w:r>
      <w:bookmarkEnd w:id="6"/>
      <w:r w:rsidRPr="0095223E">
        <w:rPr>
          <w:rFonts w:ascii="Cambria" w:hAnsi="Cambria"/>
          <w:sz w:val="22"/>
          <w:szCs w:val="22"/>
        </w:rPr>
        <w:t>: Agrifood value chains and smallholders</w:t>
      </w:r>
    </w:p>
    <w:tbl>
      <w:tblPr>
        <w:tblW w:w="5000" w:type="pct"/>
        <w:tblLayout w:type="fixed"/>
        <w:tblLook w:val="04A0" w:firstRow="1" w:lastRow="0" w:firstColumn="1" w:lastColumn="0" w:noHBand="0" w:noVBand="1"/>
      </w:tblPr>
      <w:tblGrid>
        <w:gridCol w:w="959"/>
        <w:gridCol w:w="1276"/>
        <w:gridCol w:w="933"/>
        <w:gridCol w:w="900"/>
        <w:gridCol w:w="3128"/>
        <w:gridCol w:w="6706"/>
      </w:tblGrid>
      <w:tr w:rsidR="009A1229" w:rsidRPr="0095223E" w:rsidTr="0095223E">
        <w:trPr>
          <w:cantSplit/>
          <w:tblHeader/>
        </w:trPr>
        <w:tc>
          <w:tcPr>
            <w:tcW w:w="959" w:type="dxa"/>
            <w:tcBorders>
              <w:top w:val="single" w:sz="4" w:space="0" w:color="auto"/>
              <w:left w:val="nil"/>
              <w:bottom w:val="single" w:sz="4" w:space="0" w:color="auto"/>
              <w:right w:val="nil"/>
            </w:tcBorders>
            <w:shd w:val="clear" w:color="auto" w:fill="auto"/>
            <w:hideMark/>
          </w:tcPr>
          <w:p w:rsidR="009A1229" w:rsidRPr="0095223E" w:rsidRDefault="009A1229" w:rsidP="00366F7A">
            <w:pPr>
              <w:pStyle w:val="Table"/>
              <w:rPr>
                <w:rFonts w:ascii="Cambria" w:eastAsia="Times New Roman" w:hAnsi="Cambria"/>
                <w:b/>
                <w:sz w:val="18"/>
                <w:szCs w:val="18"/>
                <w:lang w:eastAsia="en-GB"/>
              </w:rPr>
            </w:pPr>
            <w:r w:rsidRPr="0095223E">
              <w:rPr>
                <w:rFonts w:ascii="Cambria" w:eastAsia="Times New Roman" w:hAnsi="Cambria"/>
                <w:b/>
                <w:sz w:val="18"/>
                <w:szCs w:val="18"/>
                <w:lang w:eastAsia="en-GB"/>
              </w:rPr>
              <w:t>Authors</w:t>
            </w:r>
          </w:p>
        </w:tc>
        <w:tc>
          <w:tcPr>
            <w:tcW w:w="1276" w:type="dxa"/>
            <w:tcBorders>
              <w:top w:val="single" w:sz="4" w:space="0" w:color="auto"/>
              <w:left w:val="nil"/>
              <w:bottom w:val="single" w:sz="4" w:space="0" w:color="auto"/>
              <w:right w:val="nil"/>
            </w:tcBorders>
            <w:shd w:val="clear" w:color="auto" w:fill="auto"/>
            <w:hideMark/>
          </w:tcPr>
          <w:p w:rsidR="009A1229" w:rsidRPr="0095223E" w:rsidRDefault="009A1229" w:rsidP="00366F7A">
            <w:pPr>
              <w:pStyle w:val="Table"/>
              <w:rPr>
                <w:rFonts w:ascii="Cambria" w:eastAsia="Times New Roman" w:hAnsi="Cambria"/>
                <w:b/>
                <w:sz w:val="18"/>
                <w:szCs w:val="18"/>
                <w:lang w:eastAsia="en-GB"/>
              </w:rPr>
            </w:pPr>
            <w:r w:rsidRPr="0095223E">
              <w:rPr>
                <w:rFonts w:ascii="Cambria" w:eastAsia="Times New Roman" w:hAnsi="Cambria"/>
                <w:b/>
                <w:sz w:val="18"/>
                <w:szCs w:val="18"/>
                <w:lang w:eastAsia="en-GB"/>
              </w:rPr>
              <w:t xml:space="preserve">Focus </w:t>
            </w:r>
          </w:p>
        </w:tc>
        <w:tc>
          <w:tcPr>
            <w:tcW w:w="933" w:type="dxa"/>
            <w:tcBorders>
              <w:top w:val="single" w:sz="4" w:space="0" w:color="auto"/>
              <w:left w:val="nil"/>
              <w:bottom w:val="single" w:sz="4" w:space="0" w:color="auto"/>
              <w:right w:val="nil"/>
            </w:tcBorders>
            <w:shd w:val="clear" w:color="auto" w:fill="auto"/>
            <w:hideMark/>
          </w:tcPr>
          <w:p w:rsidR="009A1229" w:rsidRPr="0095223E" w:rsidRDefault="009A1229" w:rsidP="00366F7A">
            <w:pPr>
              <w:pStyle w:val="Table"/>
              <w:rPr>
                <w:rFonts w:ascii="Cambria" w:eastAsia="Times New Roman" w:hAnsi="Cambria"/>
                <w:b/>
                <w:sz w:val="18"/>
                <w:szCs w:val="18"/>
                <w:lang w:eastAsia="en-GB"/>
              </w:rPr>
            </w:pPr>
            <w:r w:rsidRPr="0095223E">
              <w:rPr>
                <w:rFonts w:ascii="Cambria" w:eastAsia="Times New Roman" w:hAnsi="Cambria"/>
                <w:b/>
                <w:sz w:val="18"/>
                <w:szCs w:val="18"/>
                <w:lang w:eastAsia="en-GB"/>
              </w:rPr>
              <w:t>Product</w:t>
            </w:r>
          </w:p>
        </w:tc>
        <w:tc>
          <w:tcPr>
            <w:tcW w:w="900" w:type="dxa"/>
            <w:tcBorders>
              <w:top w:val="single" w:sz="4" w:space="0" w:color="auto"/>
              <w:left w:val="nil"/>
              <w:bottom w:val="single" w:sz="4" w:space="0" w:color="auto"/>
              <w:right w:val="nil"/>
            </w:tcBorders>
            <w:shd w:val="clear" w:color="auto" w:fill="auto"/>
            <w:hideMark/>
          </w:tcPr>
          <w:p w:rsidR="009A1229" w:rsidRPr="0095223E" w:rsidRDefault="009A1229" w:rsidP="00366F7A">
            <w:pPr>
              <w:pStyle w:val="Table"/>
              <w:rPr>
                <w:rFonts w:ascii="Cambria" w:eastAsia="Times New Roman" w:hAnsi="Cambria"/>
                <w:b/>
                <w:sz w:val="18"/>
                <w:szCs w:val="18"/>
                <w:lang w:eastAsia="en-GB"/>
              </w:rPr>
            </w:pPr>
            <w:r w:rsidRPr="0095223E">
              <w:rPr>
                <w:rFonts w:ascii="Cambria" w:eastAsia="Times New Roman" w:hAnsi="Cambria"/>
                <w:b/>
                <w:sz w:val="18"/>
                <w:szCs w:val="18"/>
                <w:lang w:eastAsia="en-GB"/>
              </w:rPr>
              <w:t>Country</w:t>
            </w:r>
          </w:p>
        </w:tc>
        <w:tc>
          <w:tcPr>
            <w:tcW w:w="3128" w:type="dxa"/>
            <w:tcBorders>
              <w:top w:val="single" w:sz="4" w:space="0" w:color="auto"/>
              <w:left w:val="nil"/>
              <w:bottom w:val="single" w:sz="4" w:space="0" w:color="auto"/>
              <w:right w:val="nil"/>
            </w:tcBorders>
            <w:shd w:val="clear" w:color="auto" w:fill="auto"/>
            <w:hideMark/>
          </w:tcPr>
          <w:p w:rsidR="009A1229" w:rsidRPr="0095223E" w:rsidRDefault="009A1229" w:rsidP="00366F7A">
            <w:pPr>
              <w:pStyle w:val="Table"/>
              <w:rPr>
                <w:rFonts w:ascii="Cambria" w:eastAsia="Times New Roman" w:hAnsi="Cambria"/>
                <w:b/>
                <w:sz w:val="18"/>
                <w:szCs w:val="18"/>
                <w:lang w:eastAsia="en-GB"/>
              </w:rPr>
            </w:pPr>
            <w:r w:rsidRPr="0095223E">
              <w:rPr>
                <w:rFonts w:ascii="Cambria" w:eastAsia="Times New Roman" w:hAnsi="Cambria"/>
                <w:b/>
                <w:sz w:val="18"/>
                <w:szCs w:val="18"/>
                <w:lang w:eastAsia="en-GB"/>
              </w:rPr>
              <w:t>Beneficiaries, outcomes and impact</w:t>
            </w:r>
          </w:p>
        </w:tc>
        <w:tc>
          <w:tcPr>
            <w:tcW w:w="6706" w:type="dxa"/>
            <w:tcBorders>
              <w:top w:val="single" w:sz="4" w:space="0" w:color="auto"/>
              <w:left w:val="nil"/>
              <w:bottom w:val="single" w:sz="4" w:space="0" w:color="auto"/>
              <w:right w:val="nil"/>
            </w:tcBorders>
            <w:shd w:val="clear" w:color="auto" w:fill="auto"/>
            <w:hideMark/>
          </w:tcPr>
          <w:p w:rsidR="009A1229" w:rsidRPr="0095223E" w:rsidRDefault="009A1229" w:rsidP="00366F7A">
            <w:pPr>
              <w:pStyle w:val="Table"/>
              <w:rPr>
                <w:rFonts w:ascii="Cambria" w:eastAsia="Times New Roman" w:hAnsi="Cambria"/>
                <w:b/>
                <w:sz w:val="18"/>
                <w:szCs w:val="18"/>
                <w:lang w:eastAsia="en-GB"/>
              </w:rPr>
            </w:pPr>
            <w:r w:rsidRPr="0095223E">
              <w:rPr>
                <w:rFonts w:ascii="Cambria" w:eastAsia="Times New Roman" w:hAnsi="Cambria"/>
                <w:b/>
                <w:sz w:val="18"/>
                <w:szCs w:val="18"/>
                <w:lang w:eastAsia="en-GB"/>
              </w:rPr>
              <w:t xml:space="preserve">Obstacles and challenges </w:t>
            </w:r>
          </w:p>
        </w:tc>
      </w:tr>
      <w:tr w:rsidR="009A1229" w:rsidRPr="0095223E" w:rsidTr="0095223E">
        <w:trPr>
          <w:cantSplit/>
        </w:trPr>
        <w:tc>
          <w:tcPr>
            <w:tcW w:w="959" w:type="dxa"/>
            <w:tcBorders>
              <w:top w:val="single" w:sz="4" w:space="0" w:color="auto"/>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Saenger et al. (</w:t>
            </w:r>
            <w:hyperlink r:id="rId28" w:history="1">
              <w:r w:rsidRPr="0095223E">
                <w:rPr>
                  <w:rStyle w:val="Hyperlink"/>
                  <w:rFonts w:ascii="Cambria" w:eastAsia="Times New Roman" w:hAnsi="Cambria"/>
                  <w:sz w:val="18"/>
                  <w:szCs w:val="18"/>
                  <w:lang w:eastAsia="en-GB"/>
                </w:rPr>
                <w:t>2012a</w:t>
              </w:r>
            </w:hyperlink>
            <w:r w:rsidRPr="0095223E">
              <w:rPr>
                <w:rFonts w:ascii="Cambria" w:eastAsia="Times New Roman" w:hAnsi="Cambria"/>
                <w:sz w:val="18"/>
                <w:szCs w:val="18"/>
                <w:lang w:eastAsia="en-GB"/>
              </w:rPr>
              <w:t xml:space="preserve">, </w:t>
            </w:r>
            <w:hyperlink r:id="rId29" w:history="1">
              <w:r w:rsidRPr="0095223E">
                <w:rPr>
                  <w:rStyle w:val="Hyperlink"/>
                  <w:rFonts w:ascii="Cambria" w:eastAsia="Times New Roman" w:hAnsi="Cambria"/>
                  <w:sz w:val="18"/>
                  <w:szCs w:val="18"/>
                  <w:lang w:eastAsia="en-GB"/>
                </w:rPr>
                <w:t>2012b</w:t>
              </w:r>
            </w:hyperlink>
            <w:r w:rsidRPr="0095223E">
              <w:rPr>
                <w:rFonts w:ascii="Cambria" w:eastAsia="Times New Roman" w:hAnsi="Cambria"/>
                <w:sz w:val="18"/>
                <w:szCs w:val="18"/>
                <w:lang w:eastAsia="en-GB"/>
              </w:rPr>
              <w:t xml:space="preserve">) </w:t>
            </w:r>
          </w:p>
        </w:tc>
        <w:tc>
          <w:tcPr>
            <w:tcW w:w="1276" w:type="dxa"/>
            <w:tcBorders>
              <w:top w:val="single" w:sz="4" w:space="0" w:color="auto"/>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Contract farming</w:t>
            </w:r>
          </w:p>
        </w:tc>
        <w:tc>
          <w:tcPr>
            <w:tcW w:w="933" w:type="dxa"/>
            <w:tcBorders>
              <w:top w:val="single" w:sz="4" w:space="0" w:color="auto"/>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Dairy</w:t>
            </w:r>
          </w:p>
        </w:tc>
        <w:tc>
          <w:tcPr>
            <w:tcW w:w="900" w:type="dxa"/>
            <w:tcBorders>
              <w:top w:val="single" w:sz="4" w:space="0" w:color="auto"/>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Vietnam </w:t>
            </w:r>
          </w:p>
        </w:tc>
        <w:tc>
          <w:tcPr>
            <w:tcW w:w="3128" w:type="dxa"/>
            <w:tcBorders>
              <w:top w:val="single" w:sz="4" w:space="0" w:color="auto"/>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Farmers: higher productivity. Processors: better milk quality with quality-depen</w:t>
            </w:r>
            <w:r w:rsidRPr="0095223E">
              <w:rPr>
                <w:rFonts w:ascii="Cambria" w:eastAsia="Times New Roman" w:hAnsi="Cambria"/>
                <w:sz w:val="18"/>
                <w:szCs w:val="18"/>
                <w:lang w:eastAsia="en-GB"/>
              </w:rPr>
              <w:softHyphen/>
              <w:t xml:space="preserve">dent pricing, lower per-unit transaction costs with independent quality control. </w:t>
            </w:r>
          </w:p>
        </w:tc>
        <w:tc>
          <w:tcPr>
            <w:tcW w:w="6706" w:type="dxa"/>
            <w:tcBorders>
              <w:top w:val="single" w:sz="4" w:space="0" w:color="auto"/>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Lacking incentive to invest in quality-improving inputs and to produce high quality milk when asymmetry of information is given, e.g., when opportunistic buyers can report lower than actual output quality, which negatively affects farmers’ compensation. </w:t>
            </w:r>
          </w:p>
        </w:tc>
      </w:tr>
      <w:tr w:rsidR="009A1229" w:rsidRPr="0095223E" w:rsidTr="0095223E">
        <w:trPr>
          <w:cantSplit/>
        </w:trPr>
        <w:tc>
          <w:tcPr>
            <w:tcW w:w="959" w:type="dxa"/>
            <w:tcBorders>
              <w:top w:val="nil"/>
              <w:left w:val="nil"/>
              <w:bottom w:val="nil"/>
              <w:right w:val="nil"/>
            </w:tcBorders>
            <w:shd w:val="clear" w:color="auto" w:fill="auto"/>
            <w:noWrap/>
            <w:hideMark/>
          </w:tcPr>
          <w:p w:rsidR="009A1229" w:rsidRPr="0095223E" w:rsidRDefault="00A54C8C" w:rsidP="0095223E">
            <w:pPr>
              <w:pStyle w:val="Table"/>
              <w:spacing w:after="120"/>
              <w:rPr>
                <w:rFonts w:ascii="Cambria" w:eastAsia="Times New Roman" w:hAnsi="Cambria"/>
                <w:sz w:val="18"/>
                <w:szCs w:val="18"/>
                <w:lang w:eastAsia="en-GB"/>
              </w:rPr>
            </w:pPr>
            <w:hyperlink r:id="rId30" w:history="1">
              <w:r w:rsidR="009A1229" w:rsidRPr="0095223E">
                <w:rPr>
                  <w:rStyle w:val="Hyperlink"/>
                  <w:rFonts w:ascii="Cambria" w:eastAsia="Times New Roman" w:hAnsi="Cambria"/>
                  <w:sz w:val="18"/>
                  <w:szCs w:val="18"/>
                  <w:lang w:eastAsia="en-GB"/>
                </w:rPr>
                <w:t>Hart</w:t>
              </w:r>
              <w:r w:rsidR="009A1229" w:rsidRPr="0095223E">
                <w:rPr>
                  <w:rStyle w:val="Hyperlink"/>
                  <w:rFonts w:ascii="Cambria" w:eastAsia="Times New Roman" w:hAnsi="Cambria"/>
                  <w:sz w:val="18"/>
                  <w:szCs w:val="18"/>
                  <w:lang w:eastAsia="en-GB"/>
                </w:rPr>
                <w:softHyphen/>
                <w:t>mann</w:t>
              </w:r>
            </w:hyperlink>
            <w:r w:rsidR="009A1229" w:rsidRPr="0095223E">
              <w:rPr>
                <w:rFonts w:ascii="Cambria" w:eastAsia="Times New Roman" w:hAnsi="Cambria"/>
                <w:sz w:val="18"/>
                <w:szCs w:val="18"/>
                <w:lang w:eastAsia="en-GB"/>
              </w:rPr>
              <w:t xml:space="preserve"> (‘12) </w:t>
            </w:r>
          </w:p>
        </w:tc>
        <w:tc>
          <w:tcPr>
            <w:tcW w:w="127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Pro-poor chains </w:t>
            </w:r>
          </w:p>
        </w:tc>
        <w:tc>
          <w:tcPr>
            <w:tcW w:w="933"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General </w:t>
            </w:r>
          </w:p>
        </w:tc>
        <w:tc>
          <w:tcPr>
            <w:tcW w:w="900"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General </w:t>
            </w:r>
          </w:p>
        </w:tc>
        <w:tc>
          <w:tcPr>
            <w:tcW w:w="3128"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Poor farmers: poverty alleviation through integration into value chains. </w:t>
            </w:r>
          </w:p>
        </w:tc>
        <w:tc>
          <w:tcPr>
            <w:tcW w:w="670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Access to markets, elasticity of demand when supply increases, regulatory require</w:t>
            </w:r>
            <w:r w:rsidRPr="0095223E">
              <w:rPr>
                <w:rFonts w:ascii="Cambria" w:eastAsia="Times New Roman" w:hAnsi="Cambria"/>
                <w:sz w:val="18"/>
                <w:szCs w:val="18"/>
                <w:lang w:eastAsia="en-GB"/>
              </w:rPr>
              <w:softHyphen/>
              <w:t xml:space="preserve">ments, market interference, market failures, competition among targeted value chain actors. </w:t>
            </w:r>
          </w:p>
        </w:tc>
      </w:tr>
      <w:tr w:rsidR="009A1229" w:rsidRPr="0095223E" w:rsidTr="0095223E">
        <w:trPr>
          <w:cantSplit/>
        </w:trPr>
        <w:tc>
          <w:tcPr>
            <w:tcW w:w="959" w:type="dxa"/>
            <w:tcBorders>
              <w:top w:val="nil"/>
              <w:left w:val="nil"/>
              <w:bottom w:val="nil"/>
              <w:right w:val="nil"/>
            </w:tcBorders>
            <w:shd w:val="clear" w:color="auto" w:fill="auto"/>
            <w:noWrap/>
            <w:hideMark/>
          </w:tcPr>
          <w:p w:rsidR="009A1229" w:rsidRPr="0095223E" w:rsidRDefault="00A54C8C" w:rsidP="0095223E">
            <w:pPr>
              <w:pStyle w:val="Table"/>
              <w:spacing w:after="120"/>
              <w:rPr>
                <w:rFonts w:ascii="Cambria" w:eastAsia="Times New Roman" w:hAnsi="Cambria"/>
                <w:sz w:val="18"/>
                <w:szCs w:val="18"/>
                <w:lang w:eastAsia="en-GB"/>
              </w:rPr>
            </w:pPr>
            <w:hyperlink r:id="rId31" w:history="1">
              <w:r w:rsidR="009A1229" w:rsidRPr="0095223E">
                <w:rPr>
                  <w:rStyle w:val="Hyperlink"/>
                  <w:rFonts w:ascii="Cambria" w:eastAsia="Times New Roman" w:hAnsi="Cambria"/>
                  <w:sz w:val="18"/>
                  <w:szCs w:val="18"/>
                  <w:lang w:eastAsia="en-GB"/>
                </w:rPr>
                <w:t>Chenevix Trench</w:t>
              </w:r>
            </w:hyperlink>
            <w:r w:rsidR="009A1229" w:rsidRPr="0095223E">
              <w:rPr>
                <w:rFonts w:ascii="Cambria" w:eastAsia="Times New Roman" w:hAnsi="Cambria"/>
                <w:sz w:val="18"/>
                <w:szCs w:val="18"/>
                <w:lang w:eastAsia="en-GB"/>
              </w:rPr>
              <w:t xml:space="preserve"> et al. (‘11) </w:t>
            </w:r>
          </w:p>
        </w:tc>
        <w:tc>
          <w:tcPr>
            <w:tcW w:w="127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Food safety, food quality</w:t>
            </w:r>
          </w:p>
        </w:tc>
        <w:tc>
          <w:tcPr>
            <w:tcW w:w="933"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Perishable food</w:t>
            </w:r>
          </w:p>
        </w:tc>
        <w:tc>
          <w:tcPr>
            <w:tcW w:w="900" w:type="dxa"/>
            <w:tcBorders>
              <w:top w:val="nil"/>
              <w:left w:val="nil"/>
              <w:bottom w:val="nil"/>
              <w:right w:val="nil"/>
            </w:tcBorders>
            <w:shd w:val="clear" w:color="auto" w:fill="auto"/>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General </w:t>
            </w:r>
          </w:p>
        </w:tc>
        <w:tc>
          <w:tcPr>
            <w:tcW w:w="3128"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Poor farmers: higher incomes from pro</w:t>
            </w:r>
            <w:r w:rsidRPr="0095223E">
              <w:rPr>
                <w:rFonts w:ascii="Cambria" w:eastAsia="Times New Roman" w:hAnsi="Cambria"/>
                <w:sz w:val="18"/>
                <w:szCs w:val="18"/>
                <w:lang w:eastAsia="en-GB"/>
              </w:rPr>
              <w:softHyphen/>
              <w:t xml:space="preserve">ducing high-value food. Consumers: lower health risk. Labor: more employment. </w:t>
            </w:r>
          </w:p>
        </w:tc>
        <w:tc>
          <w:tcPr>
            <w:tcW w:w="670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Supply: low productivity, inadequate human and technical capacity, remote location, inability to comply with food safety requirements, lack of financial resources or credit to adopt prescribed procedures or invest in necessary equipment, lack of recognition as producers of safe food, cost of certification, limited competitiveness vis-à-vis larger growers, economies of scale in ensuring food safety, lack of information on good agri</w:t>
            </w:r>
            <w:r w:rsidRPr="0095223E">
              <w:rPr>
                <w:rFonts w:ascii="Cambria" w:eastAsia="Times New Roman" w:hAnsi="Cambria"/>
                <w:sz w:val="18"/>
                <w:szCs w:val="18"/>
                <w:lang w:eastAsia="en-GB"/>
              </w:rPr>
              <w:softHyphen/>
              <w:t xml:space="preserve">cultural practices and the use of pesticides, late payments by retailers. Demand: affordability of food safety attributes, awareness of health risks of unsafe food. </w:t>
            </w:r>
          </w:p>
        </w:tc>
      </w:tr>
      <w:tr w:rsidR="009A1229" w:rsidRPr="0095223E" w:rsidTr="0095223E">
        <w:trPr>
          <w:cantSplit/>
        </w:trPr>
        <w:tc>
          <w:tcPr>
            <w:tcW w:w="959" w:type="dxa"/>
            <w:tcBorders>
              <w:top w:val="nil"/>
              <w:left w:val="nil"/>
              <w:bottom w:val="nil"/>
              <w:right w:val="nil"/>
            </w:tcBorders>
            <w:shd w:val="clear" w:color="auto" w:fill="auto"/>
            <w:noWrap/>
            <w:hideMark/>
          </w:tcPr>
          <w:p w:rsidR="009A1229" w:rsidRPr="0095223E" w:rsidRDefault="00A54C8C" w:rsidP="0095223E">
            <w:pPr>
              <w:pStyle w:val="Table"/>
              <w:spacing w:after="120"/>
              <w:rPr>
                <w:rFonts w:ascii="Cambria" w:eastAsia="Times New Roman" w:hAnsi="Cambria"/>
                <w:sz w:val="18"/>
                <w:szCs w:val="18"/>
                <w:lang w:eastAsia="en-GB"/>
              </w:rPr>
            </w:pPr>
            <w:hyperlink r:id="rId32" w:history="1">
              <w:r w:rsidR="009A1229" w:rsidRPr="0095223E">
                <w:rPr>
                  <w:rStyle w:val="Hyperlink"/>
                  <w:rFonts w:ascii="Cambria" w:eastAsia="Times New Roman" w:hAnsi="Cambria"/>
                  <w:sz w:val="18"/>
                  <w:szCs w:val="18"/>
                  <w:lang w:eastAsia="en-GB"/>
                </w:rPr>
                <w:t>Hawkes &amp; Ruel</w:t>
              </w:r>
            </w:hyperlink>
            <w:r w:rsidR="009A1229" w:rsidRPr="0095223E">
              <w:rPr>
                <w:rFonts w:ascii="Cambria" w:eastAsia="Times New Roman" w:hAnsi="Cambria"/>
                <w:sz w:val="18"/>
                <w:szCs w:val="18"/>
                <w:lang w:eastAsia="en-GB"/>
              </w:rPr>
              <w:t xml:space="preserve"> (‘11) </w:t>
            </w:r>
          </w:p>
        </w:tc>
        <w:tc>
          <w:tcPr>
            <w:tcW w:w="127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Improved nutrition</w:t>
            </w:r>
          </w:p>
        </w:tc>
        <w:tc>
          <w:tcPr>
            <w:tcW w:w="933"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Micro</w:t>
            </w:r>
            <w:r w:rsidRPr="0095223E">
              <w:rPr>
                <w:rFonts w:ascii="Cambria" w:eastAsia="Times New Roman" w:hAnsi="Cambria"/>
                <w:sz w:val="18"/>
                <w:szCs w:val="18"/>
                <w:lang w:eastAsia="en-GB"/>
              </w:rPr>
              <w:softHyphen/>
              <w:t>nu</w:t>
            </w:r>
            <w:r w:rsidRPr="0095223E">
              <w:rPr>
                <w:rFonts w:ascii="Cambria" w:eastAsia="Times New Roman" w:hAnsi="Cambria"/>
                <w:sz w:val="18"/>
                <w:szCs w:val="18"/>
                <w:lang w:eastAsia="en-GB"/>
              </w:rPr>
              <w:softHyphen/>
              <w:t>tri</w:t>
            </w:r>
            <w:r w:rsidRPr="0095223E">
              <w:rPr>
                <w:rFonts w:ascii="Cambria" w:eastAsia="Times New Roman" w:hAnsi="Cambria"/>
                <w:sz w:val="18"/>
                <w:szCs w:val="18"/>
                <w:lang w:eastAsia="en-GB"/>
              </w:rPr>
              <w:softHyphen/>
              <w:t>ent-rich food</w:t>
            </w:r>
          </w:p>
        </w:tc>
        <w:tc>
          <w:tcPr>
            <w:tcW w:w="900"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General </w:t>
            </w:r>
          </w:p>
        </w:tc>
        <w:tc>
          <w:tcPr>
            <w:tcW w:w="3128"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Poor and marginal populations: Better nutrition through more available, affor</w:t>
            </w:r>
            <w:r w:rsidRPr="0095223E">
              <w:rPr>
                <w:rFonts w:ascii="Cambria" w:eastAsia="Times New Roman" w:hAnsi="Cambria"/>
                <w:sz w:val="18"/>
                <w:szCs w:val="18"/>
                <w:lang w:eastAsia="en-GB"/>
              </w:rPr>
              <w:softHyphen/>
              <w:t xml:space="preserve">dable and acceptable food that is more nutritious. </w:t>
            </w:r>
          </w:p>
        </w:tc>
        <w:tc>
          <w:tcPr>
            <w:tcW w:w="670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Intersectoral barriers that create disincentives to closer cooperation between sectors, lack of knowledge about what influences demand for nutritious food, focus on quick fixes to address nutrition problems, trade-offs between economic returns and nutri</w:t>
            </w:r>
            <w:r w:rsidRPr="0095223E">
              <w:rPr>
                <w:rFonts w:ascii="Cambria" w:eastAsia="Times New Roman" w:hAnsi="Cambria"/>
                <w:sz w:val="18"/>
                <w:szCs w:val="18"/>
                <w:lang w:eastAsia="en-GB"/>
              </w:rPr>
              <w:softHyphen/>
              <w:t xml:space="preserve">tional benefits of agriculture, affordability of value-added products. </w:t>
            </w:r>
          </w:p>
        </w:tc>
      </w:tr>
      <w:tr w:rsidR="009A1229" w:rsidRPr="0095223E" w:rsidTr="0095223E">
        <w:trPr>
          <w:cantSplit/>
        </w:trPr>
        <w:tc>
          <w:tcPr>
            <w:tcW w:w="959" w:type="dxa"/>
            <w:tcBorders>
              <w:top w:val="nil"/>
              <w:left w:val="nil"/>
              <w:bottom w:val="nil"/>
              <w:right w:val="nil"/>
            </w:tcBorders>
            <w:shd w:val="clear" w:color="auto" w:fill="auto"/>
            <w:noWrap/>
            <w:hideMark/>
          </w:tcPr>
          <w:p w:rsidR="009A1229" w:rsidRPr="0095223E" w:rsidRDefault="00A54C8C" w:rsidP="0095223E">
            <w:pPr>
              <w:pStyle w:val="Table"/>
              <w:spacing w:after="120"/>
              <w:rPr>
                <w:rFonts w:ascii="Cambria" w:eastAsia="Times New Roman" w:hAnsi="Cambria"/>
                <w:sz w:val="18"/>
                <w:szCs w:val="18"/>
                <w:lang w:eastAsia="en-GB"/>
              </w:rPr>
            </w:pPr>
            <w:hyperlink r:id="rId33" w:history="1">
              <w:r w:rsidR="009A1229" w:rsidRPr="0095223E">
                <w:rPr>
                  <w:rStyle w:val="Hyperlink"/>
                  <w:rFonts w:ascii="Cambria" w:eastAsia="Times New Roman" w:hAnsi="Cambria"/>
                  <w:sz w:val="18"/>
                  <w:szCs w:val="18"/>
                  <w:lang w:eastAsia="en-GB"/>
                </w:rPr>
                <w:t>Reardon &amp; Minten</w:t>
              </w:r>
            </w:hyperlink>
            <w:r w:rsidR="009A1229" w:rsidRPr="0095223E">
              <w:rPr>
                <w:rFonts w:ascii="Cambria" w:eastAsia="Times New Roman" w:hAnsi="Cambria"/>
                <w:sz w:val="18"/>
                <w:szCs w:val="18"/>
                <w:lang w:eastAsia="en-GB"/>
              </w:rPr>
              <w:t xml:space="preserve"> (‘11) </w:t>
            </w:r>
          </w:p>
        </w:tc>
        <w:tc>
          <w:tcPr>
            <w:tcW w:w="127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Structural trans</w:t>
            </w:r>
            <w:r w:rsidRPr="0095223E">
              <w:rPr>
                <w:rFonts w:ascii="Cambria" w:eastAsia="Times New Roman" w:hAnsi="Cambria"/>
                <w:sz w:val="18"/>
                <w:szCs w:val="18"/>
                <w:lang w:eastAsia="en-GB"/>
              </w:rPr>
              <w:softHyphen/>
              <w:t>for</w:t>
            </w:r>
            <w:r w:rsidRPr="0095223E">
              <w:rPr>
                <w:rFonts w:ascii="Cambria" w:eastAsia="Times New Roman" w:hAnsi="Cambria"/>
                <w:sz w:val="18"/>
                <w:szCs w:val="18"/>
                <w:lang w:eastAsia="en-GB"/>
              </w:rPr>
              <w:softHyphen/>
              <w:t xml:space="preserve">mation </w:t>
            </w:r>
          </w:p>
        </w:tc>
        <w:tc>
          <w:tcPr>
            <w:tcW w:w="933"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Food crops </w:t>
            </w:r>
          </w:p>
        </w:tc>
        <w:tc>
          <w:tcPr>
            <w:tcW w:w="900"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India </w:t>
            </w:r>
          </w:p>
        </w:tc>
        <w:tc>
          <w:tcPr>
            <w:tcW w:w="3128"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Farmers: higher farm prices. Urban con</w:t>
            </w:r>
            <w:r w:rsidRPr="0095223E">
              <w:rPr>
                <w:rFonts w:ascii="Cambria" w:eastAsia="Times New Roman" w:hAnsi="Cambria"/>
                <w:sz w:val="18"/>
                <w:szCs w:val="18"/>
                <w:lang w:eastAsia="en-GB"/>
              </w:rPr>
              <w:softHyphen/>
              <w:t xml:space="preserve">sumers: greater food security. Labor: more employment. </w:t>
            </w:r>
          </w:p>
        </w:tc>
        <w:tc>
          <w:tcPr>
            <w:tcW w:w="670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Asset poverty, incl. collective assets (such as infrastructure) and individual assets (such as education, tubewells, credit access) in poorer areas and strata, restrictions on foreign direct investment in modern retailing,</w:t>
            </w:r>
            <w:r w:rsidRPr="0095223E">
              <w:rPr>
                <w:rFonts w:ascii="Cambria" w:hAnsi="Cambria"/>
                <w:sz w:val="18"/>
                <w:szCs w:val="18"/>
              </w:rPr>
              <w:t xml:space="preserve"> </w:t>
            </w:r>
            <w:r w:rsidRPr="0095223E">
              <w:rPr>
                <w:rFonts w:ascii="Cambria" w:eastAsia="Times New Roman" w:hAnsi="Cambria"/>
                <w:sz w:val="18"/>
                <w:szCs w:val="18"/>
                <w:lang w:eastAsia="en-GB"/>
              </w:rPr>
              <w:t>slow liberalization of wholesale markets, limits on private-sector procurement, storage, and sales to traders, regulatory and fiscal un</w:t>
            </w:r>
            <w:r w:rsidRPr="0095223E">
              <w:rPr>
                <w:rFonts w:ascii="Cambria" w:eastAsia="Times New Roman" w:hAnsi="Cambria"/>
                <w:sz w:val="18"/>
                <w:szCs w:val="18"/>
                <w:lang w:eastAsia="en-GB"/>
              </w:rPr>
              <w:softHyphen/>
              <w:t xml:space="preserve">certainty, transaction costs. </w:t>
            </w:r>
          </w:p>
        </w:tc>
      </w:tr>
      <w:tr w:rsidR="009A1229" w:rsidRPr="0095223E" w:rsidTr="0095223E">
        <w:trPr>
          <w:cantSplit/>
        </w:trPr>
        <w:tc>
          <w:tcPr>
            <w:tcW w:w="959" w:type="dxa"/>
            <w:tcBorders>
              <w:top w:val="nil"/>
              <w:left w:val="nil"/>
              <w:bottom w:val="nil"/>
              <w:right w:val="nil"/>
            </w:tcBorders>
            <w:shd w:val="clear" w:color="auto" w:fill="auto"/>
            <w:noWrap/>
            <w:hideMark/>
          </w:tcPr>
          <w:p w:rsidR="009A1229" w:rsidRPr="0095223E" w:rsidRDefault="00A54C8C" w:rsidP="0095223E">
            <w:pPr>
              <w:pStyle w:val="Table"/>
              <w:spacing w:after="120"/>
              <w:rPr>
                <w:rFonts w:ascii="Cambria" w:eastAsia="Times New Roman" w:hAnsi="Cambria"/>
                <w:sz w:val="18"/>
                <w:szCs w:val="18"/>
                <w:lang w:eastAsia="en-GB"/>
              </w:rPr>
            </w:pPr>
            <w:hyperlink r:id="rId34" w:history="1">
              <w:r w:rsidR="009A1229" w:rsidRPr="0095223E">
                <w:rPr>
                  <w:rStyle w:val="Hyperlink"/>
                  <w:rFonts w:ascii="Cambria" w:eastAsia="Times New Roman" w:hAnsi="Cambria"/>
                  <w:sz w:val="18"/>
                  <w:szCs w:val="18"/>
                  <w:lang w:eastAsia="en-GB"/>
                </w:rPr>
                <w:t>Bernard &amp; Spiel</w:t>
              </w:r>
              <w:r w:rsidR="009A1229" w:rsidRPr="0095223E">
                <w:rPr>
                  <w:rStyle w:val="Hyperlink"/>
                  <w:rFonts w:ascii="Cambria" w:eastAsia="Times New Roman" w:hAnsi="Cambria"/>
                  <w:sz w:val="18"/>
                  <w:szCs w:val="18"/>
                  <w:lang w:eastAsia="en-GB"/>
                </w:rPr>
                <w:softHyphen/>
                <w:t>man</w:t>
              </w:r>
            </w:hyperlink>
            <w:r w:rsidR="009A1229" w:rsidRPr="0095223E">
              <w:rPr>
                <w:rFonts w:ascii="Cambria" w:eastAsia="Times New Roman" w:hAnsi="Cambria"/>
                <w:sz w:val="18"/>
                <w:szCs w:val="18"/>
                <w:lang w:eastAsia="en-GB"/>
              </w:rPr>
              <w:t xml:space="preserve"> (‘09) </w:t>
            </w:r>
          </w:p>
        </w:tc>
        <w:tc>
          <w:tcPr>
            <w:tcW w:w="127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Producer coopera</w:t>
            </w:r>
            <w:r w:rsidRPr="0095223E">
              <w:rPr>
                <w:rFonts w:ascii="Cambria" w:eastAsia="Times New Roman" w:hAnsi="Cambria"/>
                <w:sz w:val="18"/>
                <w:szCs w:val="18"/>
                <w:lang w:eastAsia="en-GB"/>
              </w:rPr>
              <w:softHyphen/>
              <w:t>tives</w:t>
            </w:r>
          </w:p>
        </w:tc>
        <w:tc>
          <w:tcPr>
            <w:tcW w:w="933"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Grains</w:t>
            </w:r>
          </w:p>
        </w:tc>
        <w:tc>
          <w:tcPr>
            <w:tcW w:w="900"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Ethiopia </w:t>
            </w:r>
          </w:p>
        </w:tc>
        <w:tc>
          <w:tcPr>
            <w:tcW w:w="3128"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Smallholders: positive spillovers from cooperative activities. </w:t>
            </w:r>
          </w:p>
        </w:tc>
        <w:tc>
          <w:tcPr>
            <w:tcW w:w="6706" w:type="dxa"/>
            <w:tcBorders>
              <w:top w:val="nil"/>
              <w:left w:val="nil"/>
              <w:bottom w:val="nil"/>
              <w:right w:val="nil"/>
            </w:tcBorders>
            <w:shd w:val="clear" w:color="auto" w:fill="auto"/>
            <w:noWrap/>
            <w:hideMark/>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Concentration of decisionmaking in management committees that are less inclusive of poor members, trade-off between inclusive membership, participatory decisionmaking, and marketing performance. </w:t>
            </w:r>
          </w:p>
        </w:tc>
      </w:tr>
      <w:tr w:rsidR="009A1229" w:rsidRPr="0095223E" w:rsidTr="0095223E">
        <w:trPr>
          <w:cantSplit/>
        </w:trPr>
        <w:tc>
          <w:tcPr>
            <w:tcW w:w="959" w:type="dxa"/>
            <w:tcBorders>
              <w:top w:val="nil"/>
              <w:left w:val="nil"/>
              <w:bottom w:val="nil"/>
              <w:right w:val="nil"/>
            </w:tcBorders>
            <w:shd w:val="clear" w:color="auto" w:fill="auto"/>
            <w:noWrap/>
          </w:tcPr>
          <w:p w:rsidR="009A1229" w:rsidRPr="0095223E" w:rsidRDefault="00A54C8C" w:rsidP="0095223E">
            <w:pPr>
              <w:pStyle w:val="Table"/>
              <w:spacing w:after="120"/>
              <w:rPr>
                <w:rFonts w:ascii="Cambria" w:eastAsia="Times New Roman" w:hAnsi="Cambria"/>
                <w:sz w:val="18"/>
                <w:szCs w:val="18"/>
                <w:lang w:eastAsia="en-GB"/>
              </w:rPr>
            </w:pPr>
            <w:hyperlink r:id="rId35" w:history="1">
              <w:r w:rsidR="009A1229" w:rsidRPr="0095223E">
                <w:rPr>
                  <w:rStyle w:val="Hyperlink"/>
                  <w:rFonts w:ascii="Cambria" w:eastAsia="Times New Roman" w:hAnsi="Cambria"/>
                  <w:sz w:val="18"/>
                  <w:szCs w:val="18"/>
                  <w:lang w:eastAsia="en-GB"/>
                </w:rPr>
                <w:t>Cunningham</w:t>
              </w:r>
            </w:hyperlink>
            <w:r w:rsidR="009A1229" w:rsidRPr="0095223E">
              <w:rPr>
                <w:rFonts w:ascii="Cambria" w:eastAsia="Times New Roman" w:hAnsi="Cambria"/>
                <w:sz w:val="18"/>
                <w:szCs w:val="18"/>
                <w:lang w:eastAsia="en-GB"/>
              </w:rPr>
              <w:t xml:space="preserve"> (‘09) </w:t>
            </w:r>
          </w:p>
        </w:tc>
        <w:tc>
          <w:tcPr>
            <w:tcW w:w="1276" w:type="dxa"/>
            <w:tcBorders>
              <w:top w:val="nil"/>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National commodity develop</w:t>
            </w:r>
            <w:r w:rsidRPr="0095223E">
              <w:rPr>
                <w:rFonts w:ascii="Cambria" w:eastAsia="Times New Roman" w:hAnsi="Cambria"/>
                <w:sz w:val="18"/>
                <w:szCs w:val="18"/>
                <w:lang w:eastAsia="en-GB"/>
              </w:rPr>
              <w:softHyphen/>
              <w:t>ment boards</w:t>
            </w:r>
          </w:p>
        </w:tc>
        <w:tc>
          <w:tcPr>
            <w:tcW w:w="933" w:type="dxa"/>
            <w:tcBorders>
              <w:top w:val="nil"/>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Dairy </w:t>
            </w:r>
          </w:p>
        </w:tc>
        <w:tc>
          <w:tcPr>
            <w:tcW w:w="900" w:type="dxa"/>
            <w:tcBorders>
              <w:top w:val="nil"/>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India </w:t>
            </w:r>
          </w:p>
        </w:tc>
        <w:tc>
          <w:tcPr>
            <w:tcW w:w="3128" w:type="dxa"/>
            <w:tcBorders>
              <w:top w:val="nil"/>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 xml:space="preserve">Small farmers and landless producers: access to markets and higher incomes. Urban consumers: more and better dairy products. Labor: female employment. </w:t>
            </w:r>
          </w:p>
        </w:tc>
        <w:tc>
          <w:tcPr>
            <w:tcW w:w="6706" w:type="dxa"/>
            <w:tcBorders>
              <w:top w:val="nil"/>
              <w:left w:val="nil"/>
              <w:bottom w:val="nil"/>
              <w:right w:val="nil"/>
            </w:tcBorders>
            <w:shd w:val="clear" w:color="auto" w:fill="auto"/>
            <w:noWrap/>
          </w:tcPr>
          <w:p w:rsidR="009A1229" w:rsidRPr="0095223E" w:rsidRDefault="009A1229" w:rsidP="0095223E">
            <w:pPr>
              <w:pStyle w:val="Table"/>
              <w:spacing w:after="120"/>
              <w:rPr>
                <w:rFonts w:ascii="Cambria" w:eastAsia="Times New Roman" w:hAnsi="Cambria"/>
                <w:sz w:val="18"/>
                <w:szCs w:val="18"/>
                <w:lang w:eastAsia="en-GB"/>
              </w:rPr>
            </w:pPr>
            <w:r w:rsidRPr="0095223E">
              <w:rPr>
                <w:rFonts w:ascii="Cambria" w:eastAsia="Times New Roman" w:hAnsi="Cambria"/>
                <w:sz w:val="18"/>
                <w:szCs w:val="18"/>
                <w:lang w:eastAsia="en-GB"/>
              </w:rPr>
              <w:t>Lacking systems for procuring milk produced in rural areas, difficult and expensive transport of perishable products, adhoc marketing of milk, lack of private sector con</w:t>
            </w:r>
            <w:r w:rsidRPr="0095223E">
              <w:rPr>
                <w:rFonts w:ascii="Cambria" w:eastAsia="Times New Roman" w:hAnsi="Cambria"/>
                <w:sz w:val="18"/>
                <w:szCs w:val="18"/>
                <w:lang w:eastAsia="en-GB"/>
              </w:rPr>
              <w:softHyphen/>
              <w:t xml:space="preserve">fidence in dairying, lack of program funding. </w:t>
            </w:r>
          </w:p>
          <w:p w:rsidR="009A1229" w:rsidRPr="0095223E" w:rsidRDefault="009A1229" w:rsidP="0095223E">
            <w:pPr>
              <w:pStyle w:val="Table"/>
              <w:spacing w:after="120"/>
              <w:rPr>
                <w:rFonts w:ascii="Cambria" w:eastAsia="Times New Roman" w:hAnsi="Cambria"/>
                <w:sz w:val="18"/>
                <w:szCs w:val="18"/>
                <w:lang w:eastAsia="en-GB"/>
              </w:rPr>
            </w:pPr>
          </w:p>
        </w:tc>
      </w:tr>
    </w:tbl>
    <w:p w:rsidR="009A1229" w:rsidRPr="0095223E" w:rsidRDefault="009A1229" w:rsidP="0095223E">
      <w:pPr>
        <w:pStyle w:val="Source"/>
        <w:pBdr>
          <w:top w:val="single" w:sz="4" w:space="1" w:color="auto"/>
        </w:pBdr>
        <w:rPr>
          <w:rFonts w:ascii="Cambria" w:hAnsi="Cambria"/>
        </w:rPr>
      </w:pPr>
      <w:r w:rsidRPr="0095223E">
        <w:rPr>
          <w:rFonts w:ascii="Cambria" w:hAnsi="Cambria"/>
          <w:i/>
        </w:rPr>
        <w:t>Source</w:t>
      </w:r>
      <w:r w:rsidRPr="0095223E">
        <w:rPr>
          <w:rFonts w:ascii="Cambria" w:hAnsi="Cambria"/>
        </w:rPr>
        <w:t xml:space="preserve">: Author’s compilation; sources hyperlinked via authors’ names. </w:t>
      </w:r>
    </w:p>
    <w:p w:rsidR="009A1229" w:rsidRPr="00753E62" w:rsidRDefault="009A1229" w:rsidP="009A1229">
      <w:pPr>
        <w:sectPr w:rsidR="009A1229" w:rsidRPr="00753E62" w:rsidSect="00366F7A">
          <w:endnotePr>
            <w:numFmt w:val="decimal"/>
          </w:endnotePr>
          <w:pgSz w:w="15840" w:h="12240" w:orient="landscape" w:code="1"/>
          <w:pgMar w:top="1440" w:right="1077" w:bottom="1077" w:left="1077" w:header="720" w:footer="284" w:gutter="0"/>
          <w:cols w:space="720"/>
          <w:titlePg/>
          <w:docGrid w:linePitch="360"/>
        </w:sectPr>
      </w:pPr>
    </w:p>
    <w:p w:rsidR="009A1229" w:rsidRPr="00C52D25" w:rsidRDefault="009A1229" w:rsidP="0095223E">
      <w:pPr>
        <w:pStyle w:val="Heading1"/>
        <w:spacing w:before="0" w:after="240" w:line="240" w:lineRule="auto"/>
        <w:rPr>
          <w:rFonts w:ascii="Cambria" w:hAnsi="Cambria"/>
          <w:sz w:val="24"/>
          <w:szCs w:val="24"/>
        </w:rPr>
      </w:pPr>
      <w:r w:rsidRPr="00C52D25">
        <w:rPr>
          <w:rFonts w:ascii="Cambria" w:hAnsi="Cambria"/>
          <w:sz w:val="24"/>
          <w:szCs w:val="24"/>
        </w:rPr>
        <w:lastRenderedPageBreak/>
        <w:t xml:space="preserve">Postharvest losses and food waste </w:t>
      </w:r>
    </w:p>
    <w:p w:rsidR="009A1229" w:rsidRPr="0095223E" w:rsidRDefault="009A1229" w:rsidP="0095223E">
      <w:pPr>
        <w:spacing w:after="0" w:line="240" w:lineRule="auto"/>
        <w:rPr>
          <w:rFonts w:ascii="Cambria" w:hAnsi="Cambria"/>
        </w:rPr>
      </w:pPr>
      <w:r w:rsidRPr="0095223E">
        <w:rPr>
          <w:rFonts w:ascii="Cambria" w:hAnsi="Cambria"/>
        </w:rPr>
        <w:t xml:space="preserve">One particular concern with current agrifood supply chains is the amount of food that is lost or wasted between farmers’ fields and consumers’ plates. According to the FAO this is roughly </w:t>
      </w:r>
      <w:hyperlink r:id="rId36" w:history="1">
        <w:r w:rsidRPr="0095223E">
          <w:rPr>
            <w:rStyle w:val="Hyperlink"/>
            <w:rFonts w:ascii="Cambria" w:hAnsi="Cambria"/>
          </w:rPr>
          <w:t>one-third</w:t>
        </w:r>
      </w:hyperlink>
      <w:r w:rsidRPr="0095223E">
        <w:rPr>
          <w:rFonts w:ascii="Cambria" w:hAnsi="Cambria"/>
        </w:rPr>
        <w:t xml:space="preserve"> of the global food production; the World Wildlife Fund (WWF) and others report estimates for current post</w:t>
      </w:r>
      <w:r w:rsidR="00366F7A">
        <w:rPr>
          <w:rFonts w:ascii="Cambria" w:hAnsi="Cambria"/>
        </w:rPr>
        <w:softHyphen/>
      </w:r>
      <w:r w:rsidRPr="0095223E">
        <w:rPr>
          <w:rFonts w:ascii="Cambria" w:hAnsi="Cambria"/>
        </w:rPr>
        <w:t xml:space="preserve">harvest losses of </w:t>
      </w:r>
      <w:hyperlink r:id="rId37" w:history="1">
        <w:r w:rsidRPr="0095223E">
          <w:rPr>
            <w:rStyle w:val="Hyperlink"/>
            <w:rFonts w:ascii="Cambria" w:hAnsi="Cambria"/>
          </w:rPr>
          <w:t>20–50 percent</w:t>
        </w:r>
      </w:hyperlink>
      <w:r w:rsidRPr="0095223E">
        <w:rPr>
          <w:rFonts w:ascii="Cambria" w:hAnsi="Cambria"/>
        </w:rPr>
        <w:t>. In industrialized countries the main problem is food waste: for in</w:t>
      </w:r>
      <w:r w:rsidR="00366F7A">
        <w:rPr>
          <w:rFonts w:ascii="Cambria" w:hAnsi="Cambria"/>
        </w:rPr>
        <w:softHyphen/>
      </w:r>
      <w:r w:rsidRPr="0095223E">
        <w:rPr>
          <w:rFonts w:ascii="Cambria" w:hAnsi="Cambria"/>
        </w:rPr>
        <w:t>stance, calculations for the United States show that food worth more than 1400 kcal per person per day is wasted, accounting for more than one-quarter of the total freshwater consumption and about 300 million barrels of oil each year</w:t>
      </w:r>
      <w:r w:rsidR="00E16689">
        <w:rPr>
          <w:rFonts w:ascii="Cambria" w:hAnsi="Cambria"/>
        </w:rPr>
        <w:t xml:space="preserve"> (Hall et al. 2009)</w:t>
      </w:r>
      <w:r w:rsidRPr="0095223E">
        <w:rPr>
          <w:rFonts w:ascii="Cambria" w:hAnsi="Cambria"/>
        </w:rPr>
        <w:t>. In developing countries the biggest problem is food losses—which are caused by poor infrastructure, low levels of technology, and low investment in the food production systems, and which occur in the production, harvest, postharvest, and processing phases. Weeds, pathogens, and animal pests alone can cause crop losses of 26–40 percent; in Nigeria, 10–20 percent of the total production of grains and tubers is lost due to poor storage alone</w:t>
      </w:r>
      <w:r w:rsidR="00E16689">
        <w:rPr>
          <w:rFonts w:ascii="Cambria" w:hAnsi="Cambria"/>
        </w:rPr>
        <w:t xml:space="preserve"> (Oerke 2006</w:t>
      </w:r>
      <w:r w:rsidR="0084599F">
        <w:rPr>
          <w:rFonts w:ascii="Cambria" w:hAnsi="Cambria"/>
        </w:rPr>
        <w:t>; Phillip et al. 2009</w:t>
      </w:r>
      <w:r w:rsidR="00E16689">
        <w:rPr>
          <w:rFonts w:ascii="Cambria" w:hAnsi="Cambria"/>
        </w:rPr>
        <w:t>)</w:t>
      </w:r>
      <w:r w:rsidRPr="0095223E">
        <w:rPr>
          <w:rFonts w:ascii="Cambria" w:hAnsi="Cambria"/>
        </w:rPr>
        <w:t>. According to the World Bank, in all of Sub-Saharan Africa the value of pos</w:t>
      </w:r>
      <w:r w:rsidR="00366F7A">
        <w:rPr>
          <w:rFonts w:ascii="Cambria" w:hAnsi="Cambria"/>
        </w:rPr>
        <w:softHyphen/>
      </w:r>
      <w:r w:rsidRPr="0095223E">
        <w:rPr>
          <w:rFonts w:ascii="Cambria" w:hAnsi="Cambria"/>
        </w:rPr>
        <w:t xml:space="preserve">tharvest grain losses amounts to </w:t>
      </w:r>
      <w:hyperlink r:id="rId38" w:history="1">
        <w:r w:rsidRPr="0095223E">
          <w:rPr>
            <w:rStyle w:val="Hyperlink"/>
            <w:rFonts w:ascii="Cambria" w:hAnsi="Cambria"/>
          </w:rPr>
          <w:t>US$4 billion</w:t>
        </w:r>
      </w:hyperlink>
      <w:r w:rsidRPr="0095223E">
        <w:rPr>
          <w:rFonts w:ascii="Cambria" w:hAnsi="Cambria"/>
        </w:rPr>
        <w:t xml:space="preserve"> a year—or as much food as could feed 48 million people.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 xml:space="preserve">Losses in the production phase occur through biotic and abiotic stresses, such as diseases, pests, and droughts. To reduce these losses, for instance, more stress-resistant crops can be developed, whether through conventional breeding, as in the case of </w:t>
      </w:r>
      <w:hyperlink r:id="rId39" w:history="1">
        <w:r w:rsidRPr="0095223E">
          <w:rPr>
            <w:rStyle w:val="Hyperlink"/>
            <w:rFonts w:ascii="Cambria" w:hAnsi="Cambria"/>
          </w:rPr>
          <w:t>fungi-resistant wheat</w:t>
        </w:r>
      </w:hyperlink>
      <w:r w:rsidRPr="0095223E">
        <w:rPr>
          <w:rFonts w:ascii="Cambria" w:hAnsi="Cambria"/>
        </w:rPr>
        <w:t xml:space="preserve">, or through genetic engineering, as in the case of </w:t>
      </w:r>
      <w:hyperlink r:id="rId40" w:history="1">
        <w:r w:rsidRPr="0095223E">
          <w:rPr>
            <w:rStyle w:val="Hyperlink"/>
            <w:rFonts w:ascii="Cambria" w:hAnsi="Cambria"/>
          </w:rPr>
          <w:t>insect-resistant crops</w:t>
        </w:r>
      </w:hyperlink>
      <w:r w:rsidRPr="0095223E">
        <w:rPr>
          <w:rFonts w:ascii="Cambria" w:hAnsi="Cambria"/>
        </w:rPr>
        <w:t xml:space="preserve">. Farmers can also pursue a crop diversification strategy where they replace local varieties with more </w:t>
      </w:r>
      <w:hyperlink r:id="rId41" w:history="1">
        <w:r w:rsidRPr="0095223E">
          <w:rPr>
            <w:rStyle w:val="Hyperlink"/>
            <w:rFonts w:ascii="Cambria" w:hAnsi="Cambria"/>
          </w:rPr>
          <w:t>drought-tolerant varieties</w:t>
        </w:r>
      </w:hyperlink>
      <w:r w:rsidRPr="0095223E">
        <w:rPr>
          <w:rFonts w:ascii="Cambria" w:hAnsi="Cambria"/>
        </w:rPr>
        <w:t>, or they can adopt improved culti</w:t>
      </w:r>
      <w:r w:rsidR="00366F7A">
        <w:rPr>
          <w:rFonts w:ascii="Cambria" w:hAnsi="Cambria"/>
        </w:rPr>
        <w:softHyphen/>
      </w:r>
      <w:r w:rsidRPr="0095223E">
        <w:rPr>
          <w:rFonts w:ascii="Cambria" w:hAnsi="Cambria"/>
        </w:rPr>
        <w:t xml:space="preserve">vation practices—a process that can be enhanced by the build-up of </w:t>
      </w:r>
      <w:hyperlink r:id="rId42" w:history="1">
        <w:r w:rsidRPr="0095223E">
          <w:rPr>
            <w:rStyle w:val="Hyperlink"/>
            <w:rFonts w:ascii="Cambria" w:hAnsi="Cambria"/>
          </w:rPr>
          <w:t>social capital</w:t>
        </w:r>
      </w:hyperlink>
      <w:r w:rsidRPr="0095223E">
        <w:rPr>
          <w:rFonts w:ascii="Cambria" w:hAnsi="Cambria"/>
        </w:rPr>
        <w:t xml:space="preserve">.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Once harvested, the crops become part of the agrifood supply chain, and there the challenge for food scientists is to find solutions to reducing postharvest losses at various supply-chain stages (</w:t>
      </w:r>
      <w:r w:rsidRPr="0095223E">
        <w:rPr>
          <w:rFonts w:ascii="Cambria" w:hAnsi="Cambria"/>
        </w:rPr>
        <w:fldChar w:fldCharType="begin"/>
      </w:r>
      <w:r w:rsidRPr="0095223E">
        <w:rPr>
          <w:rFonts w:ascii="Cambria" w:hAnsi="Cambria"/>
        </w:rPr>
        <w:instrText xml:space="preserve"> REF _Ref329256721 \h </w:instrText>
      </w:r>
      <w:r w:rsidR="004618A0" w:rsidRPr="0095223E">
        <w:rPr>
          <w:rFonts w:ascii="Cambria" w:hAnsi="Cambria"/>
        </w:rPr>
        <w:instrText xml:space="preserve"> \* MERGEFORMAT </w:instrText>
      </w:r>
      <w:r w:rsidRPr="0095223E">
        <w:rPr>
          <w:rFonts w:ascii="Cambria" w:hAnsi="Cambria"/>
        </w:rPr>
      </w:r>
      <w:r w:rsidRPr="0095223E">
        <w:rPr>
          <w:rFonts w:ascii="Cambria" w:hAnsi="Cambria"/>
        </w:rPr>
        <w:fldChar w:fldCharType="separate"/>
      </w:r>
      <w:r w:rsidRPr="0095223E">
        <w:rPr>
          <w:rFonts w:ascii="Cambria" w:hAnsi="Cambria"/>
        </w:rPr>
        <w:t>Figure 4</w:t>
      </w:r>
      <w:r w:rsidRPr="0095223E">
        <w:rPr>
          <w:rFonts w:ascii="Cambria" w:hAnsi="Cambria"/>
        </w:rPr>
        <w:fldChar w:fldCharType="end"/>
      </w:r>
      <w:r w:rsidRPr="0095223E">
        <w:rPr>
          <w:rFonts w:ascii="Cambria" w:hAnsi="Cambria"/>
        </w:rPr>
        <w:t xml:space="preserve">). One emerging technology that may present new opportunities to improve food security and the </w:t>
      </w:r>
      <w:r w:rsidR="00366F7A">
        <w:rPr>
          <w:rFonts w:ascii="Cambria" w:hAnsi="Cambria"/>
        </w:rPr>
        <w:t>liveli</w:t>
      </w:r>
      <w:r w:rsidR="00366F7A">
        <w:rPr>
          <w:rFonts w:ascii="Cambria" w:hAnsi="Cambria"/>
        </w:rPr>
        <w:softHyphen/>
      </w:r>
      <w:r w:rsidRPr="0095223E">
        <w:rPr>
          <w:rFonts w:ascii="Cambria" w:hAnsi="Cambria"/>
        </w:rPr>
        <w:t xml:space="preserve">hoods of the poor—by increasing productivity, reducing postharvest loss, improving product quality, increasing the competitiveness of agricultural producers, and improving market access—is </w:t>
      </w:r>
      <w:hyperlink r:id="rId43" w:history="1">
        <w:r w:rsidRPr="0095223E">
          <w:rPr>
            <w:rStyle w:val="Hyperlink"/>
            <w:rFonts w:ascii="Cambria" w:hAnsi="Cambria"/>
          </w:rPr>
          <w:t>nano</w:t>
        </w:r>
        <w:r w:rsidR="00366F7A">
          <w:rPr>
            <w:rStyle w:val="Hyperlink"/>
            <w:rFonts w:ascii="Cambria" w:hAnsi="Cambria"/>
          </w:rPr>
          <w:softHyphen/>
        </w:r>
        <w:r w:rsidRPr="0095223E">
          <w:rPr>
            <w:rStyle w:val="Hyperlink"/>
            <w:rFonts w:ascii="Cambria" w:hAnsi="Cambria"/>
          </w:rPr>
          <w:t>technology</w:t>
        </w:r>
      </w:hyperlink>
      <w:r w:rsidRPr="0095223E">
        <w:rPr>
          <w:rFonts w:ascii="Cambria" w:hAnsi="Cambria"/>
        </w:rPr>
        <w:t xml:space="preserve">.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More generally, to avoid losses in developing countries, the agrifood supply chain needs to be strength</w:t>
      </w:r>
      <w:r w:rsidR="00366F7A">
        <w:rPr>
          <w:rFonts w:ascii="Cambria" w:hAnsi="Cambria"/>
        </w:rPr>
        <w:softHyphen/>
      </w:r>
      <w:r w:rsidRPr="0095223E">
        <w:rPr>
          <w:rFonts w:ascii="Cambria" w:hAnsi="Cambria"/>
        </w:rPr>
        <w:t>ened, which requires investments in infrastructure and transportation, as well as in food and packaging industries, with both the public and private sectors playing a role. In richer countries poor coordination along the supply chain, exaggerated quality and aesthetic standards, and the relatively low cost of food</w:t>
      </w:r>
      <w:r w:rsidR="00366F7A">
        <w:rPr>
          <w:rFonts w:ascii="Cambria" w:hAnsi="Cambria"/>
        </w:rPr>
        <w:softHyphen/>
      </w:r>
      <w:r w:rsidRPr="0095223E">
        <w:rPr>
          <w:rFonts w:ascii="Cambria" w:hAnsi="Cambria"/>
        </w:rPr>
        <w:t xml:space="preserve">stuffs contribute to large amounts of </w:t>
      </w:r>
      <w:hyperlink r:id="rId44" w:history="1">
        <w:r w:rsidRPr="0095223E">
          <w:rPr>
            <w:rStyle w:val="Hyperlink"/>
            <w:rFonts w:ascii="Cambria" w:hAnsi="Cambria"/>
          </w:rPr>
          <w:t>loss and wastage</w:t>
        </w:r>
      </w:hyperlink>
      <w:r w:rsidRPr="0095223E">
        <w:rPr>
          <w:rFonts w:ascii="Cambria" w:hAnsi="Cambria"/>
        </w:rPr>
        <w:t xml:space="preserve">. There are promising signs that investments and human resource capacity in public agricultural research and development (R&amp;D) are picking up in a number of developing countries—even if so far this is achieving little more than compensating for the </w:t>
      </w:r>
      <w:hyperlink r:id="rId45" w:history="1">
        <w:r w:rsidRPr="0095223E">
          <w:rPr>
            <w:rStyle w:val="Hyperlink"/>
            <w:rFonts w:ascii="Cambria" w:hAnsi="Cambria"/>
          </w:rPr>
          <w:t>neglect of the past decades</w:t>
        </w:r>
      </w:hyperlink>
      <w:r w:rsidRPr="0095223E">
        <w:rPr>
          <w:rFonts w:ascii="Cambria" w:hAnsi="Cambria"/>
        </w:rPr>
        <w:t xml:space="preserve">. Similarly there is an increasing interest and commitment from the </w:t>
      </w:r>
      <w:hyperlink r:id="rId46" w:history="1">
        <w:r w:rsidRPr="0095223E">
          <w:rPr>
            <w:rStyle w:val="Hyperlink"/>
            <w:rFonts w:ascii="Cambria" w:hAnsi="Cambria"/>
          </w:rPr>
          <w:t>private sector</w:t>
        </w:r>
      </w:hyperlink>
      <w:r w:rsidRPr="0095223E">
        <w:rPr>
          <w:rFonts w:ascii="Cambria" w:hAnsi="Cambria"/>
        </w:rPr>
        <w:t xml:space="preserve"> to engage in the agrifood supply chain in developing countries, and private-sector innovation and research have already shown to be important sources of new agricultural technology in Sub-Saharan Africa—when and where they were facilitated through </w:t>
      </w:r>
      <w:hyperlink r:id="rId47" w:history="1">
        <w:r w:rsidRPr="0095223E">
          <w:rPr>
            <w:rStyle w:val="Hyperlink"/>
            <w:rFonts w:ascii="Cambria" w:hAnsi="Cambria"/>
          </w:rPr>
          <w:t>conducive government policies</w:t>
        </w:r>
      </w:hyperlink>
      <w:r w:rsidRPr="0095223E">
        <w:rPr>
          <w:rFonts w:ascii="Cambria" w:hAnsi="Cambria"/>
        </w:rPr>
        <w:t xml:space="preserve">.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 xml:space="preserve">Strengthening the agrifood supply chain in developing countries can have wider benefits. For instance when a more stable and sufficient </w:t>
      </w:r>
      <w:hyperlink r:id="rId48" w:history="1">
        <w:r w:rsidRPr="0095223E">
          <w:rPr>
            <w:rStyle w:val="Hyperlink"/>
            <w:rFonts w:ascii="Cambria" w:hAnsi="Cambria"/>
          </w:rPr>
          <w:t>supply of produce</w:t>
        </w:r>
      </w:hyperlink>
      <w:r w:rsidRPr="0095223E">
        <w:rPr>
          <w:rFonts w:ascii="Cambria" w:hAnsi="Cambria"/>
        </w:rPr>
        <w:t xml:space="preserve"> of the right quality allows food processing facto</w:t>
      </w:r>
      <w:r w:rsidR="00366F7A">
        <w:rPr>
          <w:rFonts w:ascii="Cambria" w:hAnsi="Cambria"/>
        </w:rPr>
        <w:softHyphen/>
      </w:r>
      <w:r w:rsidRPr="0095223E">
        <w:rPr>
          <w:rFonts w:ascii="Cambria" w:hAnsi="Cambria"/>
        </w:rPr>
        <w:t>ries to operate reliably and profitably, it reduces the dependence of low-income countries on im</w:t>
      </w:r>
      <w:r w:rsidR="00366F7A">
        <w:rPr>
          <w:rFonts w:ascii="Cambria" w:hAnsi="Cambria"/>
        </w:rPr>
        <w:softHyphen/>
      </w:r>
      <w:r w:rsidRPr="0095223E">
        <w:rPr>
          <w:rFonts w:ascii="Cambria" w:hAnsi="Cambria"/>
        </w:rPr>
        <w:t>ported food products and thereby improves their foreign exchange reserves while providing employment and development opportunities in poor rural areas. Furthermore, reducing wastage is a key element in in</w:t>
      </w:r>
      <w:r w:rsidR="00366F7A">
        <w:rPr>
          <w:rFonts w:ascii="Cambria" w:hAnsi="Cambria"/>
        </w:rPr>
        <w:softHyphen/>
      </w:r>
      <w:r w:rsidRPr="0095223E">
        <w:rPr>
          <w:rFonts w:ascii="Cambria" w:hAnsi="Cambria"/>
        </w:rPr>
        <w:t xml:space="preserve">creasing resource-use efficiency, one of the tenets of the </w:t>
      </w:r>
      <w:hyperlink r:id="rId49" w:history="1">
        <w:r w:rsidRPr="0095223E">
          <w:rPr>
            <w:rStyle w:val="Hyperlink"/>
            <w:rFonts w:ascii="Cambria" w:hAnsi="Cambria"/>
          </w:rPr>
          <w:t>green economy</w:t>
        </w:r>
      </w:hyperlink>
      <w:r w:rsidRPr="0095223E">
        <w:rPr>
          <w:rFonts w:ascii="Cambria" w:hAnsi="Cambria"/>
        </w:rPr>
        <w:t xml:space="preserve">, as such efforts may streamline agrifood supply chains and </w:t>
      </w:r>
      <w:hyperlink r:id="rId50" w:history="1">
        <w:r w:rsidRPr="0095223E">
          <w:rPr>
            <w:rStyle w:val="Hyperlink"/>
            <w:rFonts w:ascii="Cambria" w:hAnsi="Cambria"/>
          </w:rPr>
          <w:t>reduce unnecessary use</w:t>
        </w:r>
      </w:hyperlink>
      <w:r w:rsidRPr="0095223E">
        <w:rPr>
          <w:rFonts w:ascii="Cambria" w:hAnsi="Cambria"/>
        </w:rPr>
        <w:t xml:space="preserve"> of energy, water, fertilizer, and land. </w:t>
      </w:r>
    </w:p>
    <w:p w:rsidR="009A1229" w:rsidRPr="0095223E" w:rsidRDefault="009A1229" w:rsidP="00F72EC1">
      <w:pPr>
        <w:pStyle w:val="Caption"/>
        <w:spacing w:before="240" w:after="120" w:line="240" w:lineRule="auto"/>
        <w:rPr>
          <w:rFonts w:ascii="Cambria" w:hAnsi="Cambria"/>
          <w:sz w:val="22"/>
          <w:szCs w:val="22"/>
        </w:rPr>
      </w:pPr>
      <w:bookmarkStart w:id="7" w:name="_Ref329256721"/>
      <w:r w:rsidRPr="0095223E">
        <w:rPr>
          <w:rFonts w:ascii="Cambria" w:hAnsi="Cambria"/>
          <w:sz w:val="22"/>
          <w:szCs w:val="22"/>
        </w:rPr>
        <w:lastRenderedPageBreak/>
        <w:t xml:space="preserve">Figure </w:t>
      </w:r>
      <w:r w:rsidRPr="0095223E">
        <w:rPr>
          <w:rFonts w:ascii="Cambria" w:hAnsi="Cambria"/>
          <w:sz w:val="22"/>
          <w:szCs w:val="22"/>
        </w:rPr>
        <w:fldChar w:fldCharType="begin"/>
      </w:r>
      <w:r w:rsidRPr="0095223E">
        <w:rPr>
          <w:rFonts w:ascii="Cambria" w:hAnsi="Cambria"/>
          <w:sz w:val="22"/>
          <w:szCs w:val="22"/>
        </w:rPr>
        <w:instrText xml:space="preserve"> SEQ Figure \* ARABIC </w:instrText>
      </w:r>
      <w:r w:rsidRPr="0095223E">
        <w:rPr>
          <w:rFonts w:ascii="Cambria" w:hAnsi="Cambria"/>
          <w:sz w:val="22"/>
          <w:szCs w:val="22"/>
        </w:rPr>
        <w:fldChar w:fldCharType="separate"/>
      </w:r>
      <w:r w:rsidRPr="0095223E">
        <w:rPr>
          <w:rFonts w:ascii="Cambria" w:hAnsi="Cambria"/>
          <w:sz w:val="22"/>
          <w:szCs w:val="22"/>
        </w:rPr>
        <w:t>4</w:t>
      </w:r>
      <w:r w:rsidRPr="0095223E">
        <w:rPr>
          <w:rFonts w:ascii="Cambria" w:hAnsi="Cambria"/>
          <w:sz w:val="22"/>
          <w:szCs w:val="22"/>
        </w:rPr>
        <w:fldChar w:fldCharType="end"/>
      </w:r>
      <w:bookmarkEnd w:id="7"/>
      <w:r w:rsidRPr="0095223E">
        <w:rPr>
          <w:rFonts w:ascii="Cambria" w:hAnsi="Cambria"/>
          <w:sz w:val="22"/>
          <w:szCs w:val="22"/>
        </w:rPr>
        <w:t xml:space="preserve">: Losses along the food chain </w:t>
      </w:r>
    </w:p>
    <w:p w:rsidR="009A1229" w:rsidRPr="0095223E" w:rsidRDefault="009A1229" w:rsidP="0095223E">
      <w:pPr>
        <w:pStyle w:val="Nospace"/>
        <w:rPr>
          <w:rFonts w:ascii="Cambria" w:hAnsi="Cambria"/>
          <w:noProof w:val="0"/>
          <w:sz w:val="22"/>
          <w:szCs w:val="22"/>
          <w:lang w:val="en-US"/>
        </w:rPr>
      </w:pPr>
      <w:r w:rsidRPr="0095223E">
        <w:rPr>
          <w:rFonts w:ascii="Cambria" w:hAnsi="Cambria"/>
          <w:sz w:val="22"/>
          <w:szCs w:val="22"/>
          <w:lang w:val="en-US" w:eastAsia="en-US"/>
        </w:rPr>
        <w:drawing>
          <wp:inline distT="0" distB="0" distL="0" distR="0" wp14:anchorId="78FFF9BB" wp14:editId="0F1C6B41">
            <wp:extent cx="6464794" cy="300901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465041" cy="3009129"/>
                    </a:xfrm>
                    <a:prstGeom prst="rect">
                      <a:avLst/>
                    </a:prstGeom>
                    <a:noFill/>
                    <a:ln>
                      <a:noFill/>
                    </a:ln>
                  </pic:spPr>
                </pic:pic>
              </a:graphicData>
            </a:graphic>
          </wp:inline>
        </w:drawing>
      </w:r>
    </w:p>
    <w:p w:rsidR="009A1229" w:rsidRPr="0095223E" w:rsidRDefault="009A1229" w:rsidP="00C90A0D">
      <w:pPr>
        <w:pStyle w:val="Source"/>
        <w:spacing w:before="120" w:after="0" w:line="240" w:lineRule="auto"/>
        <w:rPr>
          <w:rFonts w:ascii="Cambria" w:hAnsi="Cambria"/>
          <w:szCs w:val="18"/>
        </w:rPr>
      </w:pPr>
      <w:r w:rsidRPr="0095223E">
        <w:rPr>
          <w:rFonts w:ascii="Cambria" w:hAnsi="Cambria"/>
          <w:i/>
          <w:szCs w:val="18"/>
        </w:rPr>
        <w:t>Source</w:t>
      </w:r>
      <w:r w:rsidRPr="0095223E">
        <w:rPr>
          <w:rFonts w:ascii="Cambria" w:hAnsi="Cambria"/>
          <w:szCs w:val="18"/>
        </w:rPr>
        <w:t>:</w:t>
      </w:r>
      <w:r w:rsidR="00C42C0E">
        <w:rPr>
          <w:rFonts w:ascii="Cambria" w:hAnsi="Cambria"/>
          <w:szCs w:val="18"/>
        </w:rPr>
        <w:t xml:space="preserve"> Grethe, Dembél</w:t>
      </w:r>
      <w:r w:rsidR="00707CF6">
        <w:rPr>
          <w:rFonts w:ascii="Cambria" w:hAnsi="Cambria"/>
          <w:szCs w:val="18"/>
        </w:rPr>
        <w:t>é</w:t>
      </w:r>
      <w:r w:rsidR="00C42C0E">
        <w:rPr>
          <w:rFonts w:ascii="Cambria" w:hAnsi="Cambria"/>
          <w:szCs w:val="18"/>
        </w:rPr>
        <w:t>, and Duman</w:t>
      </w:r>
      <w:r w:rsidR="00F72EC1">
        <w:rPr>
          <w:rFonts w:ascii="Cambria" w:hAnsi="Cambria"/>
          <w:szCs w:val="18"/>
        </w:rPr>
        <w:t>,</w:t>
      </w:r>
      <w:r w:rsidR="00C42C0E">
        <w:rPr>
          <w:rFonts w:ascii="Cambria" w:hAnsi="Cambria"/>
          <w:szCs w:val="18"/>
        </w:rPr>
        <w:t xml:space="preserve"> 2011</w:t>
      </w:r>
      <w:r w:rsidRPr="0095223E">
        <w:rPr>
          <w:rFonts w:ascii="Cambria" w:hAnsi="Cambria"/>
          <w:szCs w:val="18"/>
        </w:rPr>
        <w:t xml:space="preserve">. </w:t>
      </w:r>
    </w:p>
    <w:p w:rsidR="004618A0" w:rsidRDefault="004618A0" w:rsidP="0095223E">
      <w:pPr>
        <w:spacing w:after="0" w:line="240" w:lineRule="auto"/>
        <w:rPr>
          <w:rFonts w:ascii="Cambria" w:hAnsi="Cambria"/>
        </w:rPr>
      </w:pPr>
    </w:p>
    <w:p w:rsidR="004618A0" w:rsidRDefault="004618A0" w:rsidP="0095223E">
      <w:pPr>
        <w:spacing w:after="0" w:line="240" w:lineRule="auto"/>
        <w:rPr>
          <w:rFonts w:ascii="Cambria" w:hAnsi="Cambria"/>
        </w:rPr>
      </w:pPr>
    </w:p>
    <w:p w:rsidR="009A1229" w:rsidRDefault="009A1229" w:rsidP="0095223E">
      <w:pPr>
        <w:spacing w:after="0" w:line="240" w:lineRule="auto"/>
        <w:rPr>
          <w:rFonts w:ascii="Cambria" w:hAnsi="Cambria"/>
        </w:rPr>
      </w:pPr>
      <w:r w:rsidRPr="0095223E">
        <w:rPr>
          <w:rFonts w:ascii="Cambria" w:hAnsi="Cambria"/>
        </w:rPr>
        <w:t xml:space="preserve">An emerging issue with negative consequences for postharvest losses and the agrifood supply chain is climate change. For instance, </w:t>
      </w:r>
      <w:hyperlink r:id="rId52" w:history="1">
        <w:r w:rsidRPr="0095223E">
          <w:rPr>
            <w:rStyle w:val="Hyperlink"/>
            <w:rFonts w:ascii="Cambria" w:hAnsi="Cambria"/>
          </w:rPr>
          <w:t>climatic fluctuations</w:t>
        </w:r>
      </w:hyperlink>
      <w:r w:rsidRPr="0095223E">
        <w:rPr>
          <w:rFonts w:ascii="Cambria" w:hAnsi="Cambria"/>
        </w:rPr>
        <w:t xml:space="preserve"> can favor the growth of mycotoxins, and more fre</w:t>
      </w:r>
      <w:r w:rsidR="00366F7A">
        <w:rPr>
          <w:rFonts w:ascii="Cambria" w:hAnsi="Cambria"/>
        </w:rPr>
        <w:softHyphen/>
      </w:r>
      <w:r w:rsidRPr="0095223E">
        <w:rPr>
          <w:rFonts w:ascii="Cambria" w:hAnsi="Cambria"/>
        </w:rPr>
        <w:t>quent extreme weather events can damage infrastructure such as warehouses and roads.</w:t>
      </w:r>
    </w:p>
    <w:p w:rsidR="009A1229" w:rsidRPr="00C52D25" w:rsidRDefault="009A1229" w:rsidP="0095223E">
      <w:pPr>
        <w:pStyle w:val="Heading1"/>
        <w:spacing w:before="240" w:after="240" w:line="240" w:lineRule="auto"/>
        <w:rPr>
          <w:rFonts w:ascii="Cambria" w:hAnsi="Cambria"/>
          <w:sz w:val="24"/>
          <w:szCs w:val="24"/>
        </w:rPr>
      </w:pPr>
      <w:r w:rsidRPr="00C52D25">
        <w:rPr>
          <w:rFonts w:ascii="Cambria" w:hAnsi="Cambria"/>
          <w:sz w:val="24"/>
          <w:szCs w:val="24"/>
        </w:rPr>
        <w:t xml:space="preserve">In-country capacities and scaling up successes </w:t>
      </w:r>
    </w:p>
    <w:p w:rsidR="009A1229" w:rsidRPr="0095223E" w:rsidRDefault="009A1229" w:rsidP="0095223E">
      <w:pPr>
        <w:spacing w:after="0" w:line="240" w:lineRule="auto"/>
        <w:rPr>
          <w:rFonts w:ascii="Cambria" w:hAnsi="Cambria"/>
        </w:rPr>
      </w:pPr>
      <w:r w:rsidRPr="0095223E">
        <w:rPr>
          <w:rFonts w:ascii="Cambria" w:hAnsi="Cambria"/>
        </w:rPr>
        <w:t xml:space="preserve">To speed up progress in the fight against hunger and poverty, a smarter, more innovative, better focused, and cost-effective </w:t>
      </w:r>
      <w:hyperlink r:id="rId53" w:history="1">
        <w:r w:rsidRPr="0095223E">
          <w:rPr>
            <w:rStyle w:val="Hyperlink"/>
            <w:rFonts w:ascii="Cambria" w:hAnsi="Cambria"/>
          </w:rPr>
          <w:t>approach is needed</w:t>
        </w:r>
      </w:hyperlink>
      <w:r w:rsidRPr="0095223E">
        <w:rPr>
          <w:rFonts w:ascii="Cambria" w:hAnsi="Cambria"/>
        </w:rPr>
        <w:t xml:space="preserve">: </w:t>
      </w:r>
    </w:p>
    <w:p w:rsidR="009A1229" w:rsidRPr="0095223E" w:rsidRDefault="009A1229" w:rsidP="007632A4">
      <w:pPr>
        <w:pStyle w:val="ListParagraph"/>
        <w:numPr>
          <w:ilvl w:val="0"/>
          <w:numId w:val="11"/>
        </w:numPr>
        <w:spacing w:before="120" w:after="0" w:line="240" w:lineRule="auto"/>
        <w:ind w:left="720"/>
        <w:contextualSpacing w:val="0"/>
        <w:rPr>
          <w:rFonts w:ascii="Cambria" w:hAnsi="Cambria"/>
        </w:rPr>
      </w:pPr>
      <w:r w:rsidRPr="0095223E">
        <w:rPr>
          <w:rFonts w:ascii="Cambria" w:hAnsi="Cambria"/>
        </w:rPr>
        <w:t>First, the international community and developing countries themselves have to invest in agri</w:t>
      </w:r>
      <w:r w:rsidR="00366F7A">
        <w:rPr>
          <w:rFonts w:ascii="Cambria" w:hAnsi="Cambria"/>
        </w:rPr>
        <w:softHyphen/>
      </w:r>
      <w:r w:rsidRPr="0095223E">
        <w:rPr>
          <w:rFonts w:ascii="Cambria" w:hAnsi="Cambria"/>
        </w:rPr>
        <w:t xml:space="preserve">cultural research and extension, rural development, and targeted social protection, as these investments have large positive impacts on agricultural productivity, poverty alleviation, and production capacity. </w:t>
      </w:r>
    </w:p>
    <w:p w:rsidR="009A1229" w:rsidRPr="0095223E" w:rsidRDefault="009A1229" w:rsidP="007632A4">
      <w:pPr>
        <w:pStyle w:val="ListParagraph"/>
        <w:numPr>
          <w:ilvl w:val="0"/>
          <w:numId w:val="11"/>
        </w:numPr>
        <w:spacing w:before="120" w:after="0" w:line="240" w:lineRule="auto"/>
        <w:ind w:left="720"/>
        <w:contextualSpacing w:val="0"/>
        <w:rPr>
          <w:rFonts w:ascii="Cambria" w:hAnsi="Cambria"/>
        </w:rPr>
      </w:pPr>
      <w:r w:rsidRPr="0095223E">
        <w:rPr>
          <w:rFonts w:ascii="Cambria" w:hAnsi="Cambria"/>
        </w:rPr>
        <w:t xml:space="preserve">Second, new actors in global development, such as the private sector and in particular the food industry, have important roles to play in reducing hunger in developing countries. Given the right incentives and a conducive business environment, companies can provide effective and sustainable investment and innovation to upgrade local agrifood supply chains. </w:t>
      </w:r>
    </w:p>
    <w:p w:rsidR="009A1229" w:rsidRPr="0095223E" w:rsidRDefault="009A1229" w:rsidP="007632A4">
      <w:pPr>
        <w:pStyle w:val="ListParagraph"/>
        <w:numPr>
          <w:ilvl w:val="0"/>
          <w:numId w:val="11"/>
        </w:numPr>
        <w:spacing w:before="120" w:after="0" w:line="240" w:lineRule="auto"/>
        <w:ind w:left="720"/>
        <w:contextualSpacing w:val="0"/>
        <w:rPr>
          <w:rFonts w:ascii="Cambria" w:hAnsi="Cambria"/>
        </w:rPr>
      </w:pPr>
      <w:r w:rsidRPr="0095223E">
        <w:rPr>
          <w:rFonts w:ascii="Cambria" w:hAnsi="Cambria"/>
        </w:rPr>
        <w:t>Third, to be more effective, efficient, and sustainable, as well as better adapted to the local con</w:t>
      </w:r>
      <w:r w:rsidR="00366F7A">
        <w:rPr>
          <w:rFonts w:ascii="Cambria" w:hAnsi="Cambria"/>
        </w:rPr>
        <w:softHyphen/>
      </w:r>
      <w:r w:rsidRPr="0095223E">
        <w:rPr>
          <w:rFonts w:ascii="Cambria" w:hAnsi="Cambria"/>
        </w:rPr>
        <w:t>text, in many cases policies have to be country-led. Similarly, to be more inclusive and to in</w:t>
      </w:r>
      <w:r w:rsidR="00366F7A">
        <w:rPr>
          <w:rFonts w:ascii="Cambria" w:hAnsi="Cambria"/>
        </w:rPr>
        <w:softHyphen/>
      </w:r>
      <w:r w:rsidRPr="0095223E">
        <w:rPr>
          <w:rFonts w:ascii="Cambria" w:hAnsi="Cambria"/>
        </w:rPr>
        <w:t xml:space="preserve">crease “ownership,” reforms have to build on bottom-up support, with local people acting as a driving force in the development process. </w:t>
      </w:r>
    </w:p>
    <w:p w:rsidR="009A1229" w:rsidRPr="0095223E" w:rsidRDefault="009A1229" w:rsidP="007632A4">
      <w:pPr>
        <w:pStyle w:val="ListParagraph"/>
        <w:numPr>
          <w:ilvl w:val="0"/>
          <w:numId w:val="11"/>
        </w:numPr>
        <w:spacing w:before="120" w:after="0" w:line="240" w:lineRule="auto"/>
        <w:ind w:left="720"/>
        <w:contextualSpacing w:val="0"/>
        <w:rPr>
          <w:rFonts w:ascii="Cambria" w:hAnsi="Cambria"/>
        </w:rPr>
      </w:pPr>
      <w:r w:rsidRPr="0095223E">
        <w:rPr>
          <w:rFonts w:ascii="Cambria" w:hAnsi="Cambria"/>
        </w:rPr>
        <w:t>Fourth, to improve the success rate of reforms, successful pilot projects and policy experiments need to be scaled up and unsuccessful policy options have to be eliminated. To generate the evi</w:t>
      </w:r>
      <w:r w:rsidR="00366F7A">
        <w:rPr>
          <w:rFonts w:ascii="Cambria" w:hAnsi="Cambria"/>
        </w:rPr>
        <w:softHyphen/>
      </w:r>
      <w:r w:rsidRPr="0095223E">
        <w:rPr>
          <w:rFonts w:ascii="Cambria" w:hAnsi="Cambria"/>
        </w:rPr>
        <w:t xml:space="preserve">dence needed for these decisions, policymakers need to allow impartial monitoring of these activities and to apply the lessons learned by adjusting their policies. </w:t>
      </w:r>
    </w:p>
    <w:p w:rsidR="009A1229" w:rsidRPr="0095223E" w:rsidRDefault="009A1229" w:rsidP="007632A4">
      <w:pPr>
        <w:pStyle w:val="ListParagraph"/>
        <w:numPr>
          <w:ilvl w:val="0"/>
          <w:numId w:val="11"/>
        </w:numPr>
        <w:spacing w:before="120" w:after="0" w:line="240" w:lineRule="auto"/>
        <w:ind w:left="720"/>
        <w:contextualSpacing w:val="0"/>
        <w:rPr>
          <w:rFonts w:ascii="Cambria" w:hAnsi="Cambria"/>
        </w:rPr>
      </w:pPr>
      <w:r w:rsidRPr="0095223E">
        <w:rPr>
          <w:rFonts w:ascii="Cambria" w:hAnsi="Cambria"/>
        </w:rPr>
        <w:lastRenderedPageBreak/>
        <w:t>Fifth, decisionmakers at all levels have to stand by their commitments to policies and invest</w:t>
      </w:r>
      <w:r w:rsidR="00366F7A">
        <w:rPr>
          <w:rFonts w:ascii="Cambria" w:hAnsi="Cambria"/>
        </w:rPr>
        <w:softHyphen/>
      </w:r>
      <w:r w:rsidRPr="0095223E">
        <w:rPr>
          <w:rFonts w:ascii="Cambria" w:hAnsi="Cambria"/>
        </w:rPr>
        <w:t xml:space="preserve">ments for enhancing food security, not only by ensuring the disbursement of pledged funds, but also by supporting them with institutions, governance, and monitoring.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Some such approaches have already been successful in a few countries, but they need to be scaled up and extended to additional countries to have a real impact on the reduction of global hunger and poverty. To support developing-country governments and their partners in identifying areas for agri</w:t>
      </w:r>
      <w:r w:rsidR="00366F7A">
        <w:rPr>
          <w:rFonts w:ascii="Cambria" w:hAnsi="Cambria"/>
        </w:rPr>
        <w:softHyphen/>
      </w:r>
      <w:r w:rsidRPr="0095223E">
        <w:rPr>
          <w:rFonts w:ascii="Cambria" w:hAnsi="Cambria"/>
        </w:rPr>
        <w:t xml:space="preserve">cultural and rural investment and policy interventions, IFPRI established a “Strategic Analysis and Knowledge Support System” (SAKSS) to act as a network for governments, donors, research institutes, universities, the private sector, and nongovernmental organizations in Africa. To this end, SAKSS compiles, analyzes, and disseminates data, information, and tools that help better design, implement, and evaluate agriculture and rural development strategies. By having IFPRI’s in-country </w:t>
      </w:r>
      <w:hyperlink r:id="rId54" w:history="1">
        <w:r w:rsidRPr="0095223E">
          <w:rPr>
            <w:rStyle w:val="Hyperlink"/>
            <w:rFonts w:ascii="Cambria" w:hAnsi="Cambria"/>
          </w:rPr>
          <w:t>strategy support programs</w:t>
        </w:r>
      </w:hyperlink>
      <w:r w:rsidRPr="0095223E">
        <w:rPr>
          <w:rFonts w:ascii="Cambria" w:hAnsi="Cambria"/>
        </w:rPr>
        <w:t xml:space="preserve"> implement SAKSS, capacity building in the target countries is not neglected, which is another important element for successful country-owned and country-led approaches for reducing hunger and poverty. </w:t>
      </w:r>
    </w:p>
    <w:p w:rsidR="009A1229" w:rsidRPr="00C52D25" w:rsidRDefault="009A1229" w:rsidP="0095223E">
      <w:pPr>
        <w:pStyle w:val="Heading1"/>
        <w:spacing w:before="240" w:after="240" w:line="240" w:lineRule="auto"/>
        <w:rPr>
          <w:rFonts w:ascii="Cambria" w:hAnsi="Cambria"/>
          <w:sz w:val="24"/>
          <w:szCs w:val="24"/>
        </w:rPr>
      </w:pPr>
      <w:r w:rsidRPr="00C52D25">
        <w:rPr>
          <w:rFonts w:ascii="Cambria" w:hAnsi="Cambria"/>
          <w:sz w:val="24"/>
          <w:szCs w:val="24"/>
        </w:rPr>
        <w:t xml:space="preserve">Conclusions </w:t>
      </w:r>
    </w:p>
    <w:p w:rsidR="009A1229" w:rsidRPr="0095223E" w:rsidRDefault="009A1229" w:rsidP="0095223E">
      <w:pPr>
        <w:spacing w:after="0" w:line="240" w:lineRule="auto"/>
        <w:rPr>
          <w:rFonts w:ascii="Cambria" w:hAnsi="Cambria"/>
        </w:rPr>
      </w:pPr>
      <w:r w:rsidRPr="0095223E">
        <w:rPr>
          <w:rFonts w:ascii="Cambria" w:hAnsi="Cambria"/>
        </w:rPr>
        <w:t>Despite progress, so far less than half of all developing countries have a reasonable chance of meeting the Millennium Development Goal (MDG) of halving hunger by 2015, compared to the proportion of hungry people in 1990, at least if measured by the proportion of underweight children. Neither is the developing world on track to achieving the MDG of halving the 1990 poverty rate—if China is excluded</w:t>
      </w:r>
      <w:r w:rsidR="00C90A0D">
        <w:rPr>
          <w:rFonts w:ascii="Cambria" w:hAnsi="Cambria"/>
        </w:rPr>
        <w:t xml:space="preserve"> (Stevens et al. 2012</w:t>
      </w:r>
      <w:r w:rsidR="000907C6">
        <w:rPr>
          <w:rFonts w:ascii="Cambria" w:hAnsi="Cambria"/>
        </w:rPr>
        <w:t>; Chen and Ravallion 2012</w:t>
      </w:r>
      <w:r w:rsidR="00C90A0D">
        <w:rPr>
          <w:rFonts w:ascii="Cambria" w:hAnsi="Cambria"/>
        </w:rPr>
        <w:t>)</w:t>
      </w:r>
      <w:r w:rsidRPr="0095223E">
        <w:rPr>
          <w:rFonts w:ascii="Cambria" w:hAnsi="Cambria"/>
        </w:rPr>
        <w:t xml:space="preserve">. This is an alarming development and it clearly shows that more and continued efforts are required by global, national, and local actors to reduce hunger and poverty.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More and sustained investment in agriculture is one of the best bets in the fight against hunger and poverty, but related fields like rural infrastructure, as well as nutrition and health in developing coun</w:t>
      </w:r>
      <w:r w:rsidR="00366F7A">
        <w:rPr>
          <w:rFonts w:ascii="Cambria" w:hAnsi="Cambria"/>
        </w:rPr>
        <w:softHyphen/>
      </w:r>
      <w:r w:rsidRPr="0095223E">
        <w:rPr>
          <w:rFonts w:ascii="Cambria" w:hAnsi="Cambria"/>
        </w:rPr>
        <w:t>tries, also need to receive more funding. Technological innovations in food and agriculture that increase productivity and reduce losses—and that are compatible with the needs of smallholders—have to be promoted. In this context, the increasing interest of the private sector in engaging in developing coun</w:t>
      </w:r>
      <w:r w:rsidR="00366F7A">
        <w:rPr>
          <w:rFonts w:ascii="Cambria" w:hAnsi="Cambria"/>
        </w:rPr>
        <w:softHyphen/>
      </w:r>
      <w:r w:rsidRPr="0095223E">
        <w:rPr>
          <w:rFonts w:ascii="Cambria" w:hAnsi="Cambria"/>
        </w:rPr>
        <w:t xml:space="preserve">tries can facilitate the expansion of the agrifood value chain and formal markets, and it can help in the development and dissemination of innovations. Government policies that strengthen the position of smallholders should support their integration into the agrifood value chain, which will be facilitated where their productivity and access to rural infrastructures is improved. Further down the value chain, food science and technology in particular can help reduce food losses and increase resource-use efficiency. </w:t>
      </w:r>
    </w:p>
    <w:p w:rsidR="004618A0" w:rsidRDefault="004618A0" w:rsidP="0095223E">
      <w:pPr>
        <w:spacing w:after="0" w:line="240" w:lineRule="auto"/>
        <w:rPr>
          <w:rFonts w:ascii="Cambria" w:hAnsi="Cambria"/>
        </w:rPr>
      </w:pPr>
    </w:p>
    <w:p w:rsidR="009A1229" w:rsidRPr="0095223E" w:rsidRDefault="009A1229" w:rsidP="0095223E">
      <w:pPr>
        <w:spacing w:after="0" w:line="240" w:lineRule="auto"/>
        <w:rPr>
          <w:rFonts w:ascii="Cambria" w:hAnsi="Cambria"/>
        </w:rPr>
      </w:pPr>
      <w:r w:rsidRPr="0095223E">
        <w:rPr>
          <w:rFonts w:ascii="Cambria" w:hAnsi="Cambria"/>
        </w:rPr>
        <w:t>However, sound evidence is needed to determine which strategies, technologies, investments, insti</w:t>
      </w:r>
      <w:r w:rsidR="00366F7A">
        <w:rPr>
          <w:rFonts w:ascii="Cambria" w:hAnsi="Cambria"/>
        </w:rPr>
        <w:softHyphen/>
      </w:r>
      <w:r w:rsidRPr="0095223E">
        <w:rPr>
          <w:rFonts w:ascii="Cambria" w:hAnsi="Cambria"/>
        </w:rPr>
        <w:t>tutions, and partnerships should be scaled up in-country to achieve enduring impact on hunger and poverty. Therefore a framework—and an open mindset by decisionmakers—for evaluating pilot pro</w:t>
      </w:r>
      <w:r w:rsidR="00366F7A">
        <w:rPr>
          <w:rFonts w:ascii="Cambria" w:hAnsi="Cambria"/>
        </w:rPr>
        <w:softHyphen/>
      </w:r>
      <w:r w:rsidRPr="0095223E">
        <w:rPr>
          <w:rFonts w:ascii="Cambria" w:hAnsi="Cambria"/>
        </w:rPr>
        <w:t>jects and experiments in developing countries is needed, as is a political and legal space to transform the lessons learned into large-scale initiatives. To this end stakeholders at all levels and from all sectors need to work together.</w:t>
      </w:r>
    </w:p>
    <w:p w:rsidR="00F72EC1" w:rsidRDefault="00F72EC1">
      <w:pPr>
        <w:rPr>
          <w:rFonts w:ascii="Cambria" w:hAnsi="Cambria"/>
        </w:rPr>
      </w:pPr>
    </w:p>
    <w:p w:rsidR="0034267B" w:rsidRDefault="00AE7422" w:rsidP="00E61CF6">
      <w:pPr>
        <w:pStyle w:val="NoSpacing"/>
        <w:keepNext/>
        <w:keepLines/>
        <w:rPr>
          <w:rFonts w:ascii="Cambria" w:hAnsi="Cambria"/>
          <w:sz w:val="22"/>
          <w:szCs w:val="22"/>
        </w:rPr>
      </w:pPr>
      <w:r>
        <w:rPr>
          <w:rFonts w:ascii="Cambria" w:hAnsi="Cambria"/>
          <w:b/>
          <w:sz w:val="22"/>
          <w:szCs w:val="22"/>
        </w:rPr>
        <w:lastRenderedPageBreak/>
        <w:t>References</w:t>
      </w:r>
    </w:p>
    <w:p w:rsidR="00AE7422" w:rsidRPr="007617EE" w:rsidRDefault="00AE7422" w:rsidP="00E61CF6">
      <w:pPr>
        <w:pStyle w:val="NoSpacing"/>
        <w:keepNext/>
        <w:keepLines/>
        <w:rPr>
          <w:rFonts w:ascii="Cambria" w:hAnsi="Cambria"/>
          <w:sz w:val="22"/>
          <w:szCs w:val="22"/>
        </w:rPr>
      </w:pPr>
    </w:p>
    <w:p w:rsidR="0084599F" w:rsidRPr="00FC1CAD" w:rsidRDefault="0084599F" w:rsidP="00E61CF6">
      <w:pPr>
        <w:pStyle w:val="NoSpacing"/>
        <w:keepNext/>
        <w:keepLines/>
        <w:rPr>
          <w:rStyle w:val="Hyperlink"/>
          <w:rFonts w:ascii="Cambria" w:hAnsi="Cambria"/>
        </w:rPr>
      </w:pPr>
      <w:r w:rsidRPr="00FC1CAD">
        <w:rPr>
          <w:rFonts w:ascii="Cambria" w:hAnsi="Cambria"/>
        </w:rPr>
        <w:t xml:space="preserve">Fan, S. 2011. “New Approaches to Food Security.” Paper presented at the annual meeting of the New Champions of the World Economic Forum, Dalian, China, September 14–16. </w:t>
      </w:r>
      <w:hyperlink r:id="rId55" w:history="1">
        <w:r w:rsidRPr="00FC1CAD">
          <w:rPr>
            <w:rStyle w:val="Hyperlink"/>
            <w:rFonts w:ascii="Cambria" w:hAnsi="Cambria"/>
          </w:rPr>
          <w:t>http://dgcorner.ifpri.info/2011/10/06/new-approaches-to-food-security/</w:t>
        </w:r>
      </w:hyperlink>
    </w:p>
    <w:p w:rsidR="0084599F" w:rsidRPr="00FC1CAD" w:rsidRDefault="0084599F" w:rsidP="00E61CF6">
      <w:pPr>
        <w:pStyle w:val="NoSpacing"/>
        <w:keepNext/>
        <w:keepLines/>
        <w:rPr>
          <w:rFonts w:ascii="Cambria" w:hAnsi="Cambria"/>
        </w:rPr>
      </w:pPr>
    </w:p>
    <w:p w:rsidR="0084599F" w:rsidRPr="00FC1CAD" w:rsidRDefault="0084599F" w:rsidP="00E61CF6">
      <w:pPr>
        <w:pStyle w:val="NoSpacing"/>
        <w:keepNext/>
        <w:keepLines/>
        <w:rPr>
          <w:rStyle w:val="Hyperlink"/>
          <w:rFonts w:ascii="Cambria" w:hAnsi="Cambria"/>
        </w:rPr>
      </w:pPr>
      <w:r w:rsidRPr="00FC1CAD">
        <w:rPr>
          <w:rFonts w:ascii="Cambria" w:hAnsi="Cambria"/>
        </w:rPr>
        <w:t xml:space="preserve">Gilligan, D.O., J. Hoddinott, and A.S. Taffesse. 2008. “The Impact of Ethiopia's Productive Safety Net Programme and its Linkages.” IFPRI Discussion Paper 839. Washington, DC: IFPRI. </w:t>
      </w:r>
      <w:hyperlink r:id="rId56" w:history="1">
        <w:r w:rsidRPr="00FC1CAD">
          <w:rPr>
            <w:rStyle w:val="Hyperlink"/>
            <w:rFonts w:ascii="Cambria" w:hAnsi="Cambria"/>
          </w:rPr>
          <w:t>www.ifpri.org/publication/impact-ethiopias-productive-safety-net-programme-and-its-linkages</w:t>
        </w:r>
      </w:hyperlink>
    </w:p>
    <w:p w:rsidR="0084599F" w:rsidRPr="00FC1CAD" w:rsidRDefault="0084599F" w:rsidP="00A3547E">
      <w:pPr>
        <w:pStyle w:val="EndnoteText"/>
        <w:rPr>
          <w:rFonts w:ascii="Cambria" w:hAnsi="Cambria"/>
          <w:lang w:val="de-DE"/>
        </w:rPr>
      </w:pPr>
    </w:p>
    <w:p w:rsidR="0084599F" w:rsidRPr="00FC1CAD" w:rsidRDefault="0084599F" w:rsidP="00A3547E">
      <w:pPr>
        <w:pStyle w:val="EndnoteText"/>
        <w:rPr>
          <w:rFonts w:ascii="Cambria" w:hAnsi="Cambria"/>
          <w:lang w:val="de-DE"/>
        </w:rPr>
      </w:pPr>
      <w:r w:rsidRPr="00FC1CAD">
        <w:rPr>
          <w:rFonts w:ascii="Cambria" w:hAnsi="Cambria"/>
          <w:lang w:val="de-DE"/>
        </w:rPr>
        <w:t xml:space="preserve">Gómez, M.I., C.B. Barrett, L.E. Buck, H. De Groote, S. Ferris, H.O. Gao, E. McCullough et al. 2011. “Research Principles for Developing Country Food Value Chains.” </w:t>
      </w:r>
      <w:r w:rsidRPr="00FC1CAD">
        <w:rPr>
          <w:rFonts w:ascii="Cambria" w:hAnsi="Cambria"/>
          <w:i/>
          <w:lang w:val="de-DE"/>
        </w:rPr>
        <w:t>Science</w:t>
      </w:r>
      <w:r w:rsidRPr="00FC1CAD">
        <w:rPr>
          <w:rFonts w:ascii="Cambria" w:hAnsi="Cambria"/>
          <w:lang w:val="de-DE"/>
        </w:rPr>
        <w:t xml:space="preserve"> 332: 1154-1155. </w:t>
      </w:r>
      <w:hyperlink r:id="rId57" w:history="1">
        <w:r w:rsidRPr="00FC1CAD">
          <w:rPr>
            <w:rStyle w:val="Hyperlink"/>
            <w:rFonts w:ascii="Cambria" w:hAnsi="Cambria"/>
            <w:lang w:val="de-DE"/>
          </w:rPr>
          <w:t>http://dx.doi.org/10.1126/science.1202543</w:t>
        </w:r>
      </w:hyperlink>
      <w:r w:rsidRPr="00FC1CAD">
        <w:rPr>
          <w:rFonts w:ascii="Cambria" w:hAnsi="Cambria"/>
          <w:lang w:val="de-DE"/>
        </w:rPr>
        <w:t xml:space="preserve"> </w:t>
      </w:r>
    </w:p>
    <w:p w:rsidR="0084599F" w:rsidRPr="00FC1CAD" w:rsidRDefault="0084599F" w:rsidP="005B6837">
      <w:pPr>
        <w:pStyle w:val="EndnoteText"/>
        <w:rPr>
          <w:rFonts w:ascii="Cambria" w:hAnsi="Cambria"/>
        </w:rPr>
      </w:pPr>
    </w:p>
    <w:p w:rsidR="0084599F" w:rsidRPr="00FC1CAD" w:rsidRDefault="0084599F" w:rsidP="005B6837">
      <w:pPr>
        <w:pStyle w:val="EndnoteText"/>
        <w:rPr>
          <w:rFonts w:ascii="Cambria" w:hAnsi="Cambria"/>
          <w:lang w:val="de-DE"/>
        </w:rPr>
      </w:pPr>
      <w:r w:rsidRPr="00FC1CAD">
        <w:rPr>
          <w:rFonts w:ascii="Cambria" w:hAnsi="Cambria"/>
        </w:rPr>
        <w:t xml:space="preserve">Grethe, H., A. Dembélé, and N. Duman. 2011. “How to Feed the World’s Growing Billions.” Berlin: Heinrich Böll Foundation, WWF Deutschland. </w:t>
      </w:r>
      <w:hyperlink r:id="rId58" w:history="1">
        <w:r w:rsidRPr="00FC1CAD">
          <w:rPr>
            <w:rStyle w:val="Hyperlink"/>
            <w:rFonts w:ascii="Cambria" w:hAnsi="Cambria"/>
          </w:rPr>
          <w:t>www.boell.de/publications/publications-study-how-to-feed-the-worlds-growing-billions-fao-12032.html</w:t>
        </w:r>
      </w:hyperlink>
      <w:r w:rsidRPr="00FC1CAD">
        <w:rPr>
          <w:rFonts w:ascii="Cambria" w:hAnsi="Cambria"/>
        </w:rPr>
        <w:t xml:space="preserve"> </w:t>
      </w:r>
    </w:p>
    <w:p w:rsidR="0084599F" w:rsidRPr="00FC1CAD" w:rsidRDefault="0084599F" w:rsidP="005B6837">
      <w:pPr>
        <w:pStyle w:val="EndnoteText"/>
        <w:rPr>
          <w:rFonts w:ascii="Cambria" w:hAnsi="Cambria"/>
        </w:rPr>
      </w:pPr>
    </w:p>
    <w:p w:rsidR="0084599F" w:rsidRPr="00FC1CAD" w:rsidRDefault="0084599F" w:rsidP="005B6837">
      <w:pPr>
        <w:pStyle w:val="EndnoteText"/>
        <w:rPr>
          <w:rFonts w:ascii="Cambria" w:hAnsi="Cambria"/>
          <w:lang w:val="de-DE"/>
        </w:rPr>
      </w:pPr>
      <w:r w:rsidRPr="00FC1CAD">
        <w:rPr>
          <w:rFonts w:ascii="Cambria" w:hAnsi="Cambria"/>
        </w:rPr>
        <w:t xml:space="preserve">Hall, K.D., J. Guo, M. Dore, and C.C. Chow. 2009. “The Progressive Increase of Food Waste in America and Its Environmental Impact.” </w:t>
      </w:r>
      <w:r w:rsidRPr="00FC1CAD">
        <w:rPr>
          <w:rFonts w:ascii="Cambria" w:hAnsi="Cambria"/>
          <w:i/>
        </w:rPr>
        <w:t>PLoS ONE</w:t>
      </w:r>
      <w:r w:rsidRPr="00FC1CAD">
        <w:rPr>
          <w:rFonts w:ascii="Cambria" w:hAnsi="Cambria"/>
        </w:rPr>
        <w:t xml:space="preserve"> 4: e7940. </w:t>
      </w:r>
      <w:hyperlink r:id="rId59" w:history="1">
        <w:r w:rsidRPr="00FC1CAD">
          <w:rPr>
            <w:rStyle w:val="Hyperlink"/>
            <w:rFonts w:ascii="Cambria" w:hAnsi="Cambria"/>
          </w:rPr>
          <w:t>http://dx.doi.org/10.1371/journal.pone.0007940</w:t>
        </w:r>
      </w:hyperlink>
      <w:r w:rsidRPr="00FC1CAD">
        <w:rPr>
          <w:rFonts w:ascii="Cambria" w:hAnsi="Cambria"/>
        </w:rPr>
        <w:t xml:space="preserve"> </w:t>
      </w:r>
    </w:p>
    <w:p w:rsidR="0084599F" w:rsidRPr="00FC1CAD" w:rsidRDefault="0084599F" w:rsidP="0095223E">
      <w:pPr>
        <w:pStyle w:val="NoSpacing"/>
        <w:rPr>
          <w:rFonts w:ascii="Cambria" w:hAnsi="Cambria"/>
        </w:rPr>
      </w:pPr>
    </w:p>
    <w:p w:rsidR="0084599F" w:rsidRPr="00FC1CAD" w:rsidRDefault="0084599F" w:rsidP="0095223E">
      <w:pPr>
        <w:pStyle w:val="NoSpacing"/>
        <w:rPr>
          <w:rStyle w:val="Hyperlink"/>
          <w:rFonts w:ascii="Cambria" w:hAnsi="Cambria"/>
        </w:rPr>
      </w:pPr>
      <w:r w:rsidRPr="00FC1CAD">
        <w:rPr>
          <w:rFonts w:ascii="Cambria" w:hAnsi="Cambria"/>
        </w:rPr>
        <w:t xml:space="preserve">Hawkes, C., and M. Ruel. 2011. “Value Chains for Nutrition.” 2020 Conference Paper 4. Washington, DC: IFPRI. </w:t>
      </w:r>
      <w:hyperlink r:id="rId60" w:history="1">
        <w:r w:rsidRPr="00FC1CAD">
          <w:rPr>
            <w:rStyle w:val="Hyperlink"/>
            <w:rFonts w:ascii="Cambria" w:hAnsi="Cambria"/>
          </w:rPr>
          <w:t>www.ifpri.org/publication/value-chains-nutrition</w:t>
        </w:r>
      </w:hyperlink>
    </w:p>
    <w:p w:rsidR="0084599F" w:rsidRPr="00FC1CAD" w:rsidRDefault="0084599F" w:rsidP="00A3547E">
      <w:pPr>
        <w:pStyle w:val="EndnoteText"/>
        <w:rPr>
          <w:rFonts w:ascii="Cambria" w:hAnsi="Cambria"/>
        </w:rPr>
      </w:pPr>
    </w:p>
    <w:p w:rsidR="0084599F" w:rsidRPr="00FC1CAD" w:rsidRDefault="0084599F" w:rsidP="00A3547E">
      <w:pPr>
        <w:pStyle w:val="EndnoteText"/>
        <w:rPr>
          <w:rStyle w:val="Hyperlink"/>
          <w:rFonts w:ascii="Cambria" w:hAnsi="Cambria"/>
        </w:rPr>
      </w:pPr>
      <w:r w:rsidRPr="00FC1CAD">
        <w:rPr>
          <w:rFonts w:ascii="Cambria" w:hAnsi="Cambria"/>
        </w:rPr>
        <w:t xml:space="preserve">Humphrey, J., and L. Navas-Alemán. 2010. “Value Chains, Donor Interventions and Poverty Reduction.” </w:t>
      </w:r>
      <w:r w:rsidRPr="00FC1CAD">
        <w:rPr>
          <w:rFonts w:ascii="Cambria" w:hAnsi="Cambria"/>
          <w:i/>
        </w:rPr>
        <w:t>IDS Research Reports</w:t>
      </w:r>
      <w:r w:rsidRPr="00FC1CAD">
        <w:rPr>
          <w:rFonts w:ascii="Cambria" w:hAnsi="Cambria"/>
        </w:rPr>
        <w:t xml:space="preserve"> 2010(63): 1–106. </w:t>
      </w:r>
      <w:hyperlink r:id="rId61" w:history="1">
        <w:r w:rsidRPr="00FC1CAD">
          <w:rPr>
            <w:rStyle w:val="Hyperlink"/>
            <w:rFonts w:ascii="Cambria" w:hAnsi="Cambria"/>
          </w:rPr>
          <w:t>http://dx.doi.org/10.1111/j.2040-0217.2010.00063_2.x</w:t>
        </w:r>
      </w:hyperlink>
    </w:p>
    <w:p w:rsidR="0084599F" w:rsidRPr="00FC1CAD" w:rsidRDefault="0084599F" w:rsidP="005B6837">
      <w:pPr>
        <w:pStyle w:val="EndnoteText"/>
        <w:rPr>
          <w:rFonts w:ascii="Cambria" w:hAnsi="Cambria"/>
        </w:rPr>
      </w:pPr>
    </w:p>
    <w:p w:rsidR="0084599F" w:rsidRPr="00FC1CAD" w:rsidRDefault="0084599F" w:rsidP="005B6837">
      <w:pPr>
        <w:pStyle w:val="EndnoteText"/>
        <w:rPr>
          <w:rFonts w:ascii="Cambria" w:hAnsi="Cambria"/>
        </w:rPr>
      </w:pPr>
      <w:r w:rsidRPr="00FC1CAD">
        <w:rPr>
          <w:rFonts w:ascii="Cambria" w:hAnsi="Cambria"/>
        </w:rPr>
        <w:t xml:space="preserve">Oerke, E.-C. 2006. “Crop Losses to Pests.” </w:t>
      </w:r>
      <w:r w:rsidRPr="00FC1CAD">
        <w:rPr>
          <w:rFonts w:ascii="Cambria" w:hAnsi="Cambria"/>
          <w:i/>
        </w:rPr>
        <w:t>Journal of Agricultural Science</w:t>
      </w:r>
      <w:r w:rsidRPr="00FC1CAD">
        <w:rPr>
          <w:rFonts w:ascii="Cambria" w:hAnsi="Cambria"/>
        </w:rPr>
        <w:t xml:space="preserve"> 144: 31–43. </w:t>
      </w:r>
      <w:hyperlink r:id="rId62" w:history="1">
        <w:r w:rsidRPr="00FC1CAD">
          <w:rPr>
            <w:rStyle w:val="Hyperlink"/>
            <w:rFonts w:ascii="Cambria" w:hAnsi="Cambria"/>
          </w:rPr>
          <w:t>http://dx.doi.org/10.1017/S0021859605005708</w:t>
        </w:r>
      </w:hyperlink>
      <w:r w:rsidRPr="00FC1CAD">
        <w:rPr>
          <w:rFonts w:ascii="Cambria" w:hAnsi="Cambria"/>
        </w:rPr>
        <w:t xml:space="preserve">; </w:t>
      </w:r>
    </w:p>
    <w:p w:rsidR="0084599F" w:rsidRPr="00FC1CAD" w:rsidRDefault="0084599F" w:rsidP="005B6837">
      <w:pPr>
        <w:pStyle w:val="EndnoteText"/>
        <w:rPr>
          <w:rFonts w:ascii="Cambria" w:hAnsi="Cambria"/>
        </w:rPr>
      </w:pPr>
    </w:p>
    <w:p w:rsidR="0084599F" w:rsidRPr="00FC1CAD" w:rsidRDefault="0084599F" w:rsidP="005B6837">
      <w:pPr>
        <w:pStyle w:val="EndnoteText"/>
        <w:rPr>
          <w:rFonts w:ascii="Cambria" w:hAnsi="Cambria"/>
          <w:lang w:val="de-DE"/>
        </w:rPr>
      </w:pPr>
      <w:r w:rsidRPr="00FC1CAD">
        <w:rPr>
          <w:rFonts w:ascii="Cambria" w:hAnsi="Cambria"/>
        </w:rPr>
        <w:t xml:space="preserve">Phillip, D., E. Nkonya, J. Pender &amp; O.A. Oni. 2009. “Constraints to Increasing Agricultural Productivity in Nigeria.” NSSP Working Paper 6. Washington, DC: IFPRI. </w:t>
      </w:r>
      <w:hyperlink r:id="rId63" w:history="1">
        <w:r w:rsidRPr="00FC1CAD">
          <w:rPr>
            <w:rStyle w:val="Hyperlink"/>
            <w:rFonts w:ascii="Cambria" w:hAnsi="Cambria"/>
          </w:rPr>
          <w:t>www.ifpri.org/publication/constraints-increasing-agricultural-productivity-nigeria-0</w:t>
        </w:r>
      </w:hyperlink>
      <w:r w:rsidRPr="00FC1CAD">
        <w:rPr>
          <w:rFonts w:ascii="Cambria" w:hAnsi="Cambria"/>
        </w:rPr>
        <w:t xml:space="preserve"> </w:t>
      </w:r>
    </w:p>
    <w:p w:rsidR="0084599F" w:rsidRPr="00FC1CAD" w:rsidRDefault="0084599F" w:rsidP="00A162B4">
      <w:pPr>
        <w:pStyle w:val="EndnoteText"/>
        <w:rPr>
          <w:rFonts w:ascii="Cambria" w:hAnsi="Cambria"/>
        </w:rPr>
      </w:pPr>
    </w:p>
    <w:p w:rsidR="0084599F" w:rsidRPr="00FC1CAD" w:rsidRDefault="0084599F" w:rsidP="00A162B4">
      <w:pPr>
        <w:pStyle w:val="EndnoteText"/>
        <w:rPr>
          <w:rFonts w:ascii="Cambria" w:hAnsi="Cambria"/>
          <w:lang w:val="de-DE"/>
        </w:rPr>
      </w:pPr>
      <w:r w:rsidRPr="00FC1CAD">
        <w:rPr>
          <w:rFonts w:ascii="Cambria" w:hAnsi="Cambria"/>
        </w:rPr>
        <w:t>Reardon, T., C.B. Barrett, J.A. Berdegué</w:t>
      </w:r>
      <w:r w:rsidR="003B0CE9" w:rsidRPr="00FC1CAD">
        <w:rPr>
          <w:rFonts w:ascii="Cambria" w:hAnsi="Cambria"/>
        </w:rPr>
        <w:t xml:space="preserve">, and </w:t>
      </w:r>
      <w:r w:rsidRPr="00FC1CAD">
        <w:rPr>
          <w:rFonts w:ascii="Cambria" w:hAnsi="Cambria"/>
        </w:rPr>
        <w:t xml:space="preserve">J.F.M. Swinnen. 2009. “Agrifood Industry Transformation and Small Farmers in Developing Countries.” </w:t>
      </w:r>
      <w:r w:rsidRPr="00FC1CAD">
        <w:rPr>
          <w:rFonts w:ascii="Cambria" w:hAnsi="Cambria"/>
          <w:i/>
        </w:rPr>
        <w:t>World Development</w:t>
      </w:r>
      <w:r w:rsidRPr="00FC1CAD">
        <w:rPr>
          <w:rFonts w:ascii="Cambria" w:hAnsi="Cambria"/>
        </w:rPr>
        <w:t xml:space="preserve"> 37: 1717</w:t>
      </w:r>
      <w:r w:rsidR="003B0CE9" w:rsidRPr="00FC1CAD">
        <w:rPr>
          <w:rFonts w:ascii="Cambria" w:hAnsi="Cambria"/>
        </w:rPr>
        <w:t>–</w:t>
      </w:r>
      <w:r w:rsidRPr="00FC1CAD">
        <w:rPr>
          <w:rFonts w:ascii="Cambria" w:hAnsi="Cambria"/>
        </w:rPr>
        <w:t xml:space="preserve">1727. </w:t>
      </w:r>
      <w:hyperlink r:id="rId64" w:history="1">
        <w:r w:rsidRPr="00FC1CAD">
          <w:rPr>
            <w:rStyle w:val="Hyperlink"/>
            <w:rFonts w:ascii="Cambria" w:hAnsi="Cambria"/>
          </w:rPr>
          <w:t>http://dx.doi.org/10.1016/j.worlddev.2008.08.023</w:t>
        </w:r>
      </w:hyperlink>
      <w:r w:rsidRPr="00FC1CAD">
        <w:rPr>
          <w:rFonts w:ascii="Cambria" w:hAnsi="Cambria"/>
        </w:rPr>
        <w:t xml:space="preserve"> </w:t>
      </w:r>
    </w:p>
    <w:p w:rsidR="0084599F" w:rsidRPr="00FC1CAD" w:rsidRDefault="0084599F" w:rsidP="005B6837">
      <w:pPr>
        <w:pStyle w:val="EndnoteText"/>
        <w:rPr>
          <w:rFonts w:ascii="Cambria" w:hAnsi="Cambria"/>
        </w:rPr>
      </w:pPr>
    </w:p>
    <w:p w:rsidR="005C6D8A" w:rsidRPr="00FC1CAD" w:rsidRDefault="0084599F" w:rsidP="005B6837">
      <w:pPr>
        <w:pStyle w:val="EndnoteText"/>
        <w:rPr>
          <w:rFonts w:ascii="Cambria" w:hAnsi="Cambria"/>
        </w:rPr>
      </w:pPr>
      <w:r w:rsidRPr="00FC1CAD">
        <w:rPr>
          <w:rFonts w:ascii="Cambria" w:hAnsi="Cambria"/>
        </w:rPr>
        <w:t>Stevens, G.A., M.M. Finucane, C.J. Paciorek, S.R. Flaxman, R.A. White, A.J. Donner</w:t>
      </w:r>
      <w:r w:rsidR="003B0CE9" w:rsidRPr="00FC1CAD">
        <w:rPr>
          <w:rFonts w:ascii="Cambria" w:hAnsi="Cambria"/>
        </w:rPr>
        <w:t>, and</w:t>
      </w:r>
      <w:r w:rsidRPr="00FC1CAD">
        <w:rPr>
          <w:rFonts w:ascii="Cambria" w:hAnsi="Cambria"/>
        </w:rPr>
        <w:t xml:space="preserve"> M. Ezzati. 2012. “Trends in Mild, Moderate, and Severe Stunting and Underweight, and Progress Towards MDG</w:t>
      </w:r>
      <w:r w:rsidR="005C6D8A" w:rsidRPr="00FC1CAD">
        <w:rPr>
          <w:rFonts w:ascii="Cambria" w:hAnsi="Cambria"/>
        </w:rPr>
        <w:t>-</w:t>
      </w:r>
      <w:r w:rsidRPr="00FC1CAD">
        <w:rPr>
          <w:rFonts w:ascii="Cambria" w:hAnsi="Cambria"/>
        </w:rPr>
        <w:t xml:space="preserve">1.” </w:t>
      </w:r>
      <w:r w:rsidRPr="00FC1CAD">
        <w:rPr>
          <w:rFonts w:ascii="Cambria" w:hAnsi="Cambria"/>
          <w:i/>
        </w:rPr>
        <w:t>Lancet</w:t>
      </w:r>
      <w:r w:rsidRPr="00FC1CAD">
        <w:rPr>
          <w:rFonts w:ascii="Cambria" w:hAnsi="Cambria"/>
        </w:rPr>
        <w:t xml:space="preserve">, online July 4. </w:t>
      </w:r>
      <w:hyperlink r:id="rId65" w:history="1">
        <w:r w:rsidRPr="00FC1CAD">
          <w:rPr>
            <w:rStyle w:val="Hyperlink"/>
            <w:rFonts w:ascii="Cambria" w:hAnsi="Cambria"/>
          </w:rPr>
          <w:t>http://dx.doi.org/10.1016/S0140-6736(12)60647-3</w:t>
        </w:r>
      </w:hyperlink>
      <w:r w:rsidR="005C6D8A" w:rsidRPr="00FC1CAD">
        <w:rPr>
          <w:rFonts w:ascii="Cambria" w:hAnsi="Cambria"/>
        </w:rPr>
        <w:t>.</w:t>
      </w:r>
    </w:p>
    <w:p w:rsidR="005C6D8A" w:rsidRPr="00FC1CAD" w:rsidRDefault="005C6D8A" w:rsidP="005B6837">
      <w:pPr>
        <w:pStyle w:val="EndnoteText"/>
        <w:rPr>
          <w:rFonts w:ascii="Cambria" w:hAnsi="Cambria"/>
        </w:rPr>
      </w:pPr>
    </w:p>
    <w:p w:rsidR="0084599F" w:rsidRPr="00FC1CAD" w:rsidRDefault="0084599F" w:rsidP="005B6837">
      <w:pPr>
        <w:pStyle w:val="EndnoteText"/>
        <w:rPr>
          <w:rFonts w:ascii="Cambria" w:hAnsi="Cambria"/>
          <w:lang w:val="de-DE"/>
        </w:rPr>
      </w:pPr>
      <w:r w:rsidRPr="00FC1CAD">
        <w:rPr>
          <w:rFonts w:ascii="Cambria" w:hAnsi="Cambria"/>
        </w:rPr>
        <w:t>Chen, S.</w:t>
      </w:r>
      <w:r w:rsidR="005C6D8A" w:rsidRPr="00FC1CAD">
        <w:rPr>
          <w:rFonts w:ascii="Cambria" w:hAnsi="Cambria"/>
        </w:rPr>
        <w:t>, and</w:t>
      </w:r>
      <w:r w:rsidRPr="00FC1CAD">
        <w:rPr>
          <w:rFonts w:ascii="Cambria" w:hAnsi="Cambria"/>
        </w:rPr>
        <w:t xml:space="preserve"> M. Ravallion. 2012. “More Relatively-poor People in a Less Absolutely-poor World.” Policy Research Working Paper WPS</w:t>
      </w:r>
      <w:r w:rsidR="005C6D8A" w:rsidRPr="00FC1CAD">
        <w:rPr>
          <w:rFonts w:ascii="Cambria" w:hAnsi="Cambria"/>
        </w:rPr>
        <w:t>-</w:t>
      </w:r>
      <w:r w:rsidRPr="00FC1CAD">
        <w:rPr>
          <w:rFonts w:ascii="Cambria" w:hAnsi="Cambria"/>
        </w:rPr>
        <w:t xml:space="preserve">6114. Washington, DC: World Bank. </w:t>
      </w:r>
      <w:hyperlink r:id="rId66" w:history="1">
        <w:r w:rsidRPr="00FC1CAD">
          <w:rPr>
            <w:rStyle w:val="Hyperlink"/>
            <w:rFonts w:ascii="Cambria" w:hAnsi="Cambria"/>
          </w:rPr>
          <w:t>http://go.worldbank.org/H2IK32TVU0</w:t>
        </w:r>
      </w:hyperlink>
      <w:r w:rsidRPr="00FC1CAD">
        <w:rPr>
          <w:rFonts w:ascii="Cambria" w:hAnsi="Cambria"/>
        </w:rPr>
        <w:t xml:space="preserve"> </w:t>
      </w:r>
    </w:p>
    <w:p w:rsidR="0084599F" w:rsidRPr="00FC1CAD" w:rsidRDefault="0084599F" w:rsidP="0095223E">
      <w:pPr>
        <w:pStyle w:val="NoSpacing"/>
        <w:rPr>
          <w:rFonts w:ascii="Cambria" w:hAnsi="Cambria"/>
        </w:rPr>
      </w:pPr>
    </w:p>
    <w:p w:rsidR="0084599F" w:rsidRPr="00FC1CAD" w:rsidRDefault="0084599F" w:rsidP="0095223E">
      <w:pPr>
        <w:pStyle w:val="NoSpacing"/>
        <w:rPr>
          <w:rStyle w:val="Hyperlink"/>
          <w:rFonts w:ascii="Cambria" w:hAnsi="Cambria"/>
        </w:rPr>
      </w:pPr>
      <w:r w:rsidRPr="00FC1CAD">
        <w:rPr>
          <w:rFonts w:ascii="Cambria" w:hAnsi="Cambria"/>
        </w:rPr>
        <w:t xml:space="preserve">von Grebmer, K., M. Torero, T. Olofinbiyi, H. Fritschel, D. Wiesmann, Y. Yohannes, L. Schofield, </w:t>
      </w:r>
      <w:r w:rsidR="002F6B66" w:rsidRPr="00FC1CAD">
        <w:rPr>
          <w:rFonts w:ascii="Cambria" w:hAnsi="Cambria"/>
        </w:rPr>
        <w:t>and C. von Oppeln</w:t>
      </w:r>
      <w:r w:rsidRPr="00FC1CAD">
        <w:rPr>
          <w:rFonts w:ascii="Cambria" w:hAnsi="Cambria"/>
        </w:rPr>
        <w:t xml:space="preserve">. 2011. </w:t>
      </w:r>
      <w:r w:rsidRPr="00FC1CAD">
        <w:rPr>
          <w:rFonts w:ascii="Cambria" w:hAnsi="Cambria"/>
          <w:i/>
        </w:rPr>
        <w:t>2011 Global Hunger Index</w:t>
      </w:r>
      <w:r w:rsidR="002F6B66" w:rsidRPr="00FC1CAD">
        <w:rPr>
          <w:rFonts w:ascii="Cambria" w:hAnsi="Cambria"/>
          <w:i/>
        </w:rPr>
        <w:t>—The Challenge of Hunger: Taming Price Spikes and Excessive Food Price Volatility</w:t>
      </w:r>
      <w:r w:rsidRPr="00FC1CAD">
        <w:rPr>
          <w:rFonts w:ascii="Cambria" w:hAnsi="Cambria"/>
        </w:rPr>
        <w:t xml:space="preserve">. Bonn, Washington, DC, Dublin: Welthungerhilfe, IFPRI, Concern Worldwide. </w:t>
      </w:r>
      <w:hyperlink r:id="rId67" w:history="1">
        <w:r w:rsidRPr="00FC1CAD">
          <w:rPr>
            <w:rStyle w:val="Hyperlink"/>
            <w:rFonts w:ascii="Cambria" w:hAnsi="Cambria"/>
          </w:rPr>
          <w:t>http://dx.doi.org/10.2499/9780896299344ENGHI2011</w:t>
        </w:r>
      </w:hyperlink>
    </w:p>
    <w:p w:rsidR="0084599F" w:rsidRPr="00FC1CAD" w:rsidRDefault="0084599F" w:rsidP="0095223E">
      <w:pPr>
        <w:pStyle w:val="NoSpacing"/>
        <w:rPr>
          <w:rFonts w:ascii="Cambria" w:hAnsi="Cambria"/>
        </w:rPr>
      </w:pPr>
    </w:p>
    <w:p w:rsidR="0084599F" w:rsidRPr="00FC1CAD" w:rsidRDefault="0084599F" w:rsidP="0095223E">
      <w:pPr>
        <w:pStyle w:val="NoSpacing"/>
        <w:rPr>
          <w:rStyle w:val="Hyperlink"/>
          <w:rFonts w:ascii="Cambria" w:hAnsi="Cambria"/>
        </w:rPr>
      </w:pPr>
      <w:r w:rsidRPr="00FC1CAD">
        <w:rPr>
          <w:rFonts w:ascii="Cambria" w:hAnsi="Cambria"/>
        </w:rPr>
        <w:t xml:space="preserve">World Bank. 2012. “Poverty &amp; Equity Data.” Website, accessed June 18. Washington, DC: World Bank. </w:t>
      </w:r>
      <w:hyperlink r:id="rId68" w:history="1">
        <w:r w:rsidRPr="00FC1CAD">
          <w:rPr>
            <w:rStyle w:val="Hyperlink"/>
            <w:rFonts w:ascii="Cambria" w:hAnsi="Cambria"/>
          </w:rPr>
          <w:t>http://povertydata.worldbank.org/poverty/home</w:t>
        </w:r>
      </w:hyperlink>
    </w:p>
    <w:sectPr w:rsidR="0084599F" w:rsidRPr="00FC1CAD" w:rsidSect="00366F7A">
      <w:pgSz w:w="12240" w:h="15840" w:code="1"/>
      <w:pgMar w:top="1440" w:right="1077" w:bottom="1077" w:left="1440" w:header="720" w:footer="48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F7A" w:rsidRDefault="00366F7A" w:rsidP="001C45F2">
      <w:pPr>
        <w:spacing w:after="0" w:line="240" w:lineRule="auto"/>
      </w:pPr>
      <w:r>
        <w:separator/>
      </w:r>
    </w:p>
  </w:endnote>
  <w:endnote w:type="continuationSeparator" w:id="0">
    <w:p w:rsidR="00366F7A" w:rsidRDefault="00366F7A" w:rsidP="001C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601341"/>
      <w:docPartObj>
        <w:docPartGallery w:val="Page Numbers (Bottom of Page)"/>
        <w:docPartUnique/>
      </w:docPartObj>
    </w:sdtPr>
    <w:sdtEndPr>
      <w:rPr>
        <w:noProof/>
      </w:rPr>
    </w:sdtEndPr>
    <w:sdtContent>
      <w:p w:rsidR="00366F7A" w:rsidRDefault="00366F7A" w:rsidP="004830B6">
        <w:pPr>
          <w:pStyle w:val="Footer"/>
          <w:jc w:val="center"/>
        </w:pPr>
        <w:r>
          <w:fldChar w:fldCharType="begin"/>
        </w:r>
        <w:r>
          <w:instrText xml:space="preserve"> PAGE   \* MERGEFORMAT </w:instrText>
        </w:r>
        <w:r>
          <w:fldChar w:fldCharType="separate"/>
        </w:r>
        <w:r w:rsidR="00A54C8C">
          <w:rPr>
            <w:noProof/>
          </w:rPr>
          <w:t>3</w:t>
        </w:r>
        <w:r>
          <w:rPr>
            <w:noProof/>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47171"/>
      <w:docPartObj>
        <w:docPartGallery w:val="Page Numbers (Bottom of Page)"/>
        <w:docPartUnique/>
      </w:docPartObj>
    </w:sdtPr>
    <w:sdtEndPr>
      <w:rPr>
        <w:noProof/>
      </w:rPr>
    </w:sdtEndPr>
    <w:sdtContent>
      <w:p w:rsidR="00366F7A" w:rsidRDefault="00366F7A" w:rsidP="004830B6">
        <w:pPr>
          <w:pStyle w:val="Footer"/>
          <w:jc w:val="center"/>
        </w:pPr>
        <w:r>
          <w:fldChar w:fldCharType="begin"/>
        </w:r>
        <w:r>
          <w:instrText xml:space="preserve"> PAGE   \* MERGEFORMAT </w:instrText>
        </w:r>
        <w:r>
          <w:fldChar w:fldCharType="separate"/>
        </w:r>
        <w:r w:rsidR="00A54C8C">
          <w:rPr>
            <w:noProof/>
          </w:rPr>
          <w:t>1</w:t>
        </w:r>
        <w:r>
          <w:rPr>
            <w:noProof/>
          </w:rPr>
          <w:fldChar w:fldCharType="end"/>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097543"/>
      <w:docPartObj>
        <w:docPartGallery w:val="Page Numbers (Bottom of Page)"/>
        <w:docPartUnique/>
      </w:docPartObj>
    </w:sdtPr>
    <w:sdtEndPr>
      <w:rPr>
        <w:noProof/>
      </w:rPr>
    </w:sdtEndPr>
    <w:sdtContent>
      <w:p w:rsidR="00366F7A" w:rsidRDefault="00366F7A" w:rsidP="004830B6">
        <w:pPr>
          <w:pStyle w:val="Footer"/>
          <w:jc w:val="center"/>
        </w:pPr>
        <w:r>
          <w:fldChar w:fldCharType="begin"/>
        </w:r>
        <w:r>
          <w:instrText xml:space="preserve"> PAGE   \* MERGEFORMAT </w:instrText>
        </w:r>
        <w:r>
          <w:fldChar w:fldCharType="separate"/>
        </w:r>
        <w:r w:rsidR="00A54C8C">
          <w:rPr>
            <w:noProof/>
          </w:rPr>
          <w:t>9</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F7A" w:rsidRDefault="00366F7A" w:rsidP="001C45F2">
      <w:pPr>
        <w:spacing w:after="0" w:line="240" w:lineRule="auto"/>
      </w:pPr>
      <w:r>
        <w:separator/>
      </w:r>
    </w:p>
  </w:footnote>
  <w:footnote w:type="continuationSeparator" w:id="0">
    <w:p w:rsidR="00366F7A" w:rsidRDefault="00366F7A" w:rsidP="001C45F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010DC"/>
    <w:multiLevelType w:val="hybridMultilevel"/>
    <w:tmpl w:val="C5B2CE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A0865EA"/>
    <w:multiLevelType w:val="hybridMultilevel"/>
    <w:tmpl w:val="C278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334B6"/>
    <w:multiLevelType w:val="hybridMultilevel"/>
    <w:tmpl w:val="2C1C77FC"/>
    <w:lvl w:ilvl="0" w:tplc="F6083EF8">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7216C"/>
    <w:multiLevelType w:val="hybridMultilevel"/>
    <w:tmpl w:val="51884DEA"/>
    <w:lvl w:ilvl="0" w:tplc="92B806EC">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C076FD5"/>
    <w:multiLevelType w:val="hybridMultilevel"/>
    <w:tmpl w:val="40F2FD28"/>
    <w:lvl w:ilvl="0" w:tplc="76005C3E">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686513"/>
    <w:multiLevelType w:val="hybridMultilevel"/>
    <w:tmpl w:val="ACC699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332D0874"/>
    <w:multiLevelType w:val="hybridMultilevel"/>
    <w:tmpl w:val="8740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04495"/>
    <w:multiLevelType w:val="hybridMultilevel"/>
    <w:tmpl w:val="FED8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E2375"/>
    <w:multiLevelType w:val="hybridMultilevel"/>
    <w:tmpl w:val="F3A83428"/>
    <w:lvl w:ilvl="0" w:tplc="04090001">
      <w:start w:val="1"/>
      <w:numFmt w:val="bullet"/>
      <w:lvlText w:val=""/>
      <w:lvlJc w:val="left"/>
      <w:pPr>
        <w:ind w:left="360" w:hanging="72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79267B0F"/>
    <w:multiLevelType w:val="hybridMultilevel"/>
    <w:tmpl w:val="824AFABC"/>
    <w:lvl w:ilvl="0" w:tplc="0409000F">
      <w:start w:val="1"/>
      <w:numFmt w:val="decimal"/>
      <w:lvlText w:val="%1."/>
      <w:lvlJc w:val="left"/>
      <w:pPr>
        <w:tabs>
          <w:tab w:val="num" w:pos="630"/>
        </w:tabs>
        <w:ind w:left="63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4"/>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A8"/>
    <w:rsid w:val="00001B5A"/>
    <w:rsid w:val="00021E09"/>
    <w:rsid w:val="00033DE6"/>
    <w:rsid w:val="00057640"/>
    <w:rsid w:val="00063F92"/>
    <w:rsid w:val="0006528A"/>
    <w:rsid w:val="00065E15"/>
    <w:rsid w:val="00076608"/>
    <w:rsid w:val="000907C6"/>
    <w:rsid w:val="00091EE2"/>
    <w:rsid w:val="000A3BF8"/>
    <w:rsid w:val="000B6318"/>
    <w:rsid w:val="000C1143"/>
    <w:rsid w:val="000C1BF4"/>
    <w:rsid w:val="000D5953"/>
    <w:rsid w:val="000E576C"/>
    <w:rsid w:val="000F1825"/>
    <w:rsid w:val="001138A1"/>
    <w:rsid w:val="001473B4"/>
    <w:rsid w:val="00153019"/>
    <w:rsid w:val="00163540"/>
    <w:rsid w:val="0018198E"/>
    <w:rsid w:val="001B7CA9"/>
    <w:rsid w:val="001C45F2"/>
    <w:rsid w:val="001F7563"/>
    <w:rsid w:val="00204205"/>
    <w:rsid w:val="002077F3"/>
    <w:rsid w:val="00216E84"/>
    <w:rsid w:val="00232720"/>
    <w:rsid w:val="0025161E"/>
    <w:rsid w:val="00254600"/>
    <w:rsid w:val="002649B7"/>
    <w:rsid w:val="0027718C"/>
    <w:rsid w:val="00291AC5"/>
    <w:rsid w:val="002A13F0"/>
    <w:rsid w:val="002A44A5"/>
    <w:rsid w:val="002A479C"/>
    <w:rsid w:val="002B6D8A"/>
    <w:rsid w:val="002F260C"/>
    <w:rsid w:val="002F6B66"/>
    <w:rsid w:val="002F727E"/>
    <w:rsid w:val="003008D4"/>
    <w:rsid w:val="00301ED3"/>
    <w:rsid w:val="003029F5"/>
    <w:rsid w:val="00305924"/>
    <w:rsid w:val="0031082C"/>
    <w:rsid w:val="00315FED"/>
    <w:rsid w:val="00321AB0"/>
    <w:rsid w:val="003352D0"/>
    <w:rsid w:val="0033554A"/>
    <w:rsid w:val="0034267B"/>
    <w:rsid w:val="00365003"/>
    <w:rsid w:val="00366640"/>
    <w:rsid w:val="00366F7A"/>
    <w:rsid w:val="003708B4"/>
    <w:rsid w:val="00370AD7"/>
    <w:rsid w:val="0037428D"/>
    <w:rsid w:val="003850C2"/>
    <w:rsid w:val="003B0CE9"/>
    <w:rsid w:val="003B6CBD"/>
    <w:rsid w:val="003B6EFA"/>
    <w:rsid w:val="003F33B5"/>
    <w:rsid w:val="00412E1B"/>
    <w:rsid w:val="00413FAB"/>
    <w:rsid w:val="004317FA"/>
    <w:rsid w:val="00431E4B"/>
    <w:rsid w:val="00434271"/>
    <w:rsid w:val="0045504A"/>
    <w:rsid w:val="004604C7"/>
    <w:rsid w:val="004618A0"/>
    <w:rsid w:val="004830B6"/>
    <w:rsid w:val="00495016"/>
    <w:rsid w:val="004B0E10"/>
    <w:rsid w:val="004C3DA4"/>
    <w:rsid w:val="004D7BE7"/>
    <w:rsid w:val="00527721"/>
    <w:rsid w:val="005400BE"/>
    <w:rsid w:val="00541AE8"/>
    <w:rsid w:val="005436B6"/>
    <w:rsid w:val="005771A4"/>
    <w:rsid w:val="00580DBF"/>
    <w:rsid w:val="005856D6"/>
    <w:rsid w:val="005901A8"/>
    <w:rsid w:val="005A4249"/>
    <w:rsid w:val="005A7878"/>
    <w:rsid w:val="005B5717"/>
    <w:rsid w:val="005B6837"/>
    <w:rsid w:val="005C6D8A"/>
    <w:rsid w:val="005D3FE3"/>
    <w:rsid w:val="005D410D"/>
    <w:rsid w:val="005E5E0F"/>
    <w:rsid w:val="005F0EE2"/>
    <w:rsid w:val="005F17C7"/>
    <w:rsid w:val="0060154A"/>
    <w:rsid w:val="006466A7"/>
    <w:rsid w:val="006505C7"/>
    <w:rsid w:val="00653A7F"/>
    <w:rsid w:val="00653F1C"/>
    <w:rsid w:val="0067068A"/>
    <w:rsid w:val="006955A5"/>
    <w:rsid w:val="006A0CA8"/>
    <w:rsid w:val="006C3C9B"/>
    <w:rsid w:val="006F6BC4"/>
    <w:rsid w:val="006F71E5"/>
    <w:rsid w:val="00701FE5"/>
    <w:rsid w:val="00707CF6"/>
    <w:rsid w:val="0072781E"/>
    <w:rsid w:val="00734EF1"/>
    <w:rsid w:val="00740A34"/>
    <w:rsid w:val="0075788D"/>
    <w:rsid w:val="00760615"/>
    <w:rsid w:val="007617EE"/>
    <w:rsid w:val="00762203"/>
    <w:rsid w:val="007632A4"/>
    <w:rsid w:val="00786E22"/>
    <w:rsid w:val="007B0625"/>
    <w:rsid w:val="007B07F3"/>
    <w:rsid w:val="007D507F"/>
    <w:rsid w:val="007E4E44"/>
    <w:rsid w:val="008045CA"/>
    <w:rsid w:val="008120A7"/>
    <w:rsid w:val="00825B3E"/>
    <w:rsid w:val="0083540B"/>
    <w:rsid w:val="00835ADF"/>
    <w:rsid w:val="0084599F"/>
    <w:rsid w:val="00864AE1"/>
    <w:rsid w:val="00875A92"/>
    <w:rsid w:val="00894A34"/>
    <w:rsid w:val="00895F16"/>
    <w:rsid w:val="008A76DF"/>
    <w:rsid w:val="008B5400"/>
    <w:rsid w:val="008C3D2C"/>
    <w:rsid w:val="008F0BCF"/>
    <w:rsid w:val="008F12E2"/>
    <w:rsid w:val="008F2D43"/>
    <w:rsid w:val="008F3825"/>
    <w:rsid w:val="00904AD0"/>
    <w:rsid w:val="00924A1F"/>
    <w:rsid w:val="0095223E"/>
    <w:rsid w:val="00955B7C"/>
    <w:rsid w:val="0096290E"/>
    <w:rsid w:val="00965740"/>
    <w:rsid w:val="009668FF"/>
    <w:rsid w:val="009A1229"/>
    <w:rsid w:val="009B41E2"/>
    <w:rsid w:val="00A0291F"/>
    <w:rsid w:val="00A02E18"/>
    <w:rsid w:val="00A0715A"/>
    <w:rsid w:val="00A162B4"/>
    <w:rsid w:val="00A20627"/>
    <w:rsid w:val="00A344D9"/>
    <w:rsid w:val="00A3547E"/>
    <w:rsid w:val="00A404ED"/>
    <w:rsid w:val="00A43EAB"/>
    <w:rsid w:val="00A54C8C"/>
    <w:rsid w:val="00A94429"/>
    <w:rsid w:val="00AA08E5"/>
    <w:rsid w:val="00AA2466"/>
    <w:rsid w:val="00AA4DD9"/>
    <w:rsid w:val="00AA53E3"/>
    <w:rsid w:val="00AC2977"/>
    <w:rsid w:val="00AD4FE5"/>
    <w:rsid w:val="00AE4B86"/>
    <w:rsid w:val="00AE5E06"/>
    <w:rsid w:val="00AE7422"/>
    <w:rsid w:val="00AF1801"/>
    <w:rsid w:val="00AF4BF9"/>
    <w:rsid w:val="00AF5B77"/>
    <w:rsid w:val="00AF77F5"/>
    <w:rsid w:val="00B12A7C"/>
    <w:rsid w:val="00B13844"/>
    <w:rsid w:val="00B16BFE"/>
    <w:rsid w:val="00B25840"/>
    <w:rsid w:val="00B31F91"/>
    <w:rsid w:val="00B37B4D"/>
    <w:rsid w:val="00B42DAE"/>
    <w:rsid w:val="00B43DDD"/>
    <w:rsid w:val="00B47B7A"/>
    <w:rsid w:val="00B56D60"/>
    <w:rsid w:val="00B71F63"/>
    <w:rsid w:val="00B73FCC"/>
    <w:rsid w:val="00B74BB9"/>
    <w:rsid w:val="00BA75D1"/>
    <w:rsid w:val="00BB3F12"/>
    <w:rsid w:val="00BB41BE"/>
    <w:rsid w:val="00BD03F9"/>
    <w:rsid w:val="00BE2584"/>
    <w:rsid w:val="00C06DE0"/>
    <w:rsid w:val="00C1333E"/>
    <w:rsid w:val="00C163A7"/>
    <w:rsid w:val="00C32ADD"/>
    <w:rsid w:val="00C373BB"/>
    <w:rsid w:val="00C42C0E"/>
    <w:rsid w:val="00C449E1"/>
    <w:rsid w:val="00C46AA2"/>
    <w:rsid w:val="00C52D25"/>
    <w:rsid w:val="00C578B9"/>
    <w:rsid w:val="00C623DC"/>
    <w:rsid w:val="00C62F4D"/>
    <w:rsid w:val="00C63D83"/>
    <w:rsid w:val="00C82AE5"/>
    <w:rsid w:val="00C87848"/>
    <w:rsid w:val="00C87FD1"/>
    <w:rsid w:val="00C90A0D"/>
    <w:rsid w:val="00CB0CEE"/>
    <w:rsid w:val="00CB55F9"/>
    <w:rsid w:val="00CB6D1E"/>
    <w:rsid w:val="00CB71EA"/>
    <w:rsid w:val="00CD33D2"/>
    <w:rsid w:val="00CD72D6"/>
    <w:rsid w:val="00CF358C"/>
    <w:rsid w:val="00CF5416"/>
    <w:rsid w:val="00D129C9"/>
    <w:rsid w:val="00D16F68"/>
    <w:rsid w:val="00D26953"/>
    <w:rsid w:val="00D44CE2"/>
    <w:rsid w:val="00D515F8"/>
    <w:rsid w:val="00D54A8C"/>
    <w:rsid w:val="00D55116"/>
    <w:rsid w:val="00D60C8B"/>
    <w:rsid w:val="00D64C2F"/>
    <w:rsid w:val="00D8515E"/>
    <w:rsid w:val="00D93F7F"/>
    <w:rsid w:val="00DB22C7"/>
    <w:rsid w:val="00DC22E1"/>
    <w:rsid w:val="00DC743A"/>
    <w:rsid w:val="00DD0C5A"/>
    <w:rsid w:val="00DD0CEF"/>
    <w:rsid w:val="00DE11E2"/>
    <w:rsid w:val="00DE4935"/>
    <w:rsid w:val="00E011A7"/>
    <w:rsid w:val="00E040D8"/>
    <w:rsid w:val="00E05A70"/>
    <w:rsid w:val="00E16689"/>
    <w:rsid w:val="00E22091"/>
    <w:rsid w:val="00E25E76"/>
    <w:rsid w:val="00E36280"/>
    <w:rsid w:val="00E36578"/>
    <w:rsid w:val="00E40720"/>
    <w:rsid w:val="00E41440"/>
    <w:rsid w:val="00E42050"/>
    <w:rsid w:val="00E57B56"/>
    <w:rsid w:val="00E61CF6"/>
    <w:rsid w:val="00E67E63"/>
    <w:rsid w:val="00E745A9"/>
    <w:rsid w:val="00E86833"/>
    <w:rsid w:val="00E979D4"/>
    <w:rsid w:val="00EB06FE"/>
    <w:rsid w:val="00EB6A39"/>
    <w:rsid w:val="00EC49E0"/>
    <w:rsid w:val="00ED45D3"/>
    <w:rsid w:val="00ED4ABD"/>
    <w:rsid w:val="00EE12EE"/>
    <w:rsid w:val="00F00B45"/>
    <w:rsid w:val="00F02363"/>
    <w:rsid w:val="00F0512B"/>
    <w:rsid w:val="00F10678"/>
    <w:rsid w:val="00F143B3"/>
    <w:rsid w:val="00F23CA2"/>
    <w:rsid w:val="00F421CF"/>
    <w:rsid w:val="00F50342"/>
    <w:rsid w:val="00F55A40"/>
    <w:rsid w:val="00F57B45"/>
    <w:rsid w:val="00F57CB4"/>
    <w:rsid w:val="00F60DC7"/>
    <w:rsid w:val="00F66BD0"/>
    <w:rsid w:val="00F72EC1"/>
    <w:rsid w:val="00F803A8"/>
    <w:rsid w:val="00F86084"/>
    <w:rsid w:val="00F90398"/>
    <w:rsid w:val="00FA26C9"/>
    <w:rsid w:val="00FB20A8"/>
    <w:rsid w:val="00FB4C64"/>
    <w:rsid w:val="00FC1CAD"/>
    <w:rsid w:val="00FC424D"/>
    <w:rsid w:val="00FD1C8C"/>
    <w:rsid w:val="00FD45B2"/>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67B"/>
    <w:pPr>
      <w:keepNext/>
      <w:keepLines/>
      <w:spacing w:before="180" w:after="100" w:line="264" w:lineRule="auto"/>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34267B"/>
    <w:pPr>
      <w:spacing w:before="120"/>
      <w:outlineLvl w:val="1"/>
    </w:pPr>
    <w:rPr>
      <w:b w:val="0"/>
      <w:bCs w:val="0"/>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9D4"/>
    <w:pPr>
      <w:ind w:left="720"/>
      <w:contextualSpacing/>
    </w:pPr>
  </w:style>
  <w:style w:type="paragraph" w:styleId="Header">
    <w:name w:val="header"/>
    <w:basedOn w:val="Normal"/>
    <w:link w:val="HeaderChar"/>
    <w:uiPriority w:val="99"/>
    <w:unhideWhenUsed/>
    <w:rsid w:val="001C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2"/>
  </w:style>
  <w:style w:type="paragraph" w:styleId="Footer">
    <w:name w:val="footer"/>
    <w:basedOn w:val="Normal"/>
    <w:link w:val="FooterChar"/>
    <w:uiPriority w:val="99"/>
    <w:unhideWhenUsed/>
    <w:rsid w:val="001C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2"/>
  </w:style>
  <w:style w:type="paragraph" w:customStyle="1" w:styleId="Default">
    <w:name w:val="Default"/>
    <w:rsid w:val="00412E1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2E1B"/>
    <w:rPr>
      <w:b/>
      <w:bCs/>
      <w:i w:val="0"/>
      <w:iCs w:val="0"/>
    </w:rPr>
  </w:style>
  <w:style w:type="paragraph" w:styleId="BalloonText">
    <w:name w:val="Balloon Text"/>
    <w:basedOn w:val="Normal"/>
    <w:link w:val="BalloonTextChar"/>
    <w:uiPriority w:val="99"/>
    <w:semiHidden/>
    <w:unhideWhenUsed/>
    <w:rsid w:val="005B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17"/>
    <w:rPr>
      <w:rFonts w:ascii="Tahoma" w:hAnsi="Tahoma" w:cs="Tahoma"/>
      <w:sz w:val="16"/>
      <w:szCs w:val="16"/>
    </w:rPr>
  </w:style>
  <w:style w:type="table" w:styleId="TableGrid">
    <w:name w:val="Table Grid"/>
    <w:basedOn w:val="TableNormal"/>
    <w:uiPriority w:val="59"/>
    <w:rsid w:val="005B5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4D9"/>
    <w:rPr>
      <w:color w:val="003300"/>
      <w:u w:val="none"/>
    </w:rPr>
  </w:style>
  <w:style w:type="paragraph" w:styleId="FootnoteText">
    <w:name w:val="footnote text"/>
    <w:aliases w:val="Char"/>
    <w:basedOn w:val="Normal"/>
    <w:link w:val="FootnoteTextChar"/>
    <w:uiPriority w:val="99"/>
    <w:unhideWhenUsed/>
    <w:rsid w:val="00955B7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55B7C"/>
    <w:rPr>
      <w:sz w:val="20"/>
      <w:szCs w:val="20"/>
    </w:rPr>
  </w:style>
  <w:style w:type="character" w:styleId="FootnoteReference">
    <w:name w:val="footnote reference"/>
    <w:basedOn w:val="DefaultParagraphFont"/>
    <w:uiPriority w:val="99"/>
    <w:unhideWhenUsed/>
    <w:rsid w:val="00955B7C"/>
    <w:rPr>
      <w:vertAlign w:val="superscript"/>
    </w:rPr>
  </w:style>
  <w:style w:type="character" w:customStyle="1" w:styleId="ListParagraphChar">
    <w:name w:val="List Paragraph Char"/>
    <w:basedOn w:val="DefaultParagraphFont"/>
    <w:link w:val="ListParagraph"/>
    <w:uiPriority w:val="34"/>
    <w:locked/>
    <w:rsid w:val="00D54A8C"/>
  </w:style>
  <w:style w:type="paragraph" w:styleId="EndnoteText">
    <w:name w:val="endnote text"/>
    <w:basedOn w:val="Normal"/>
    <w:link w:val="EndnoteTextChar"/>
    <w:uiPriority w:val="99"/>
    <w:unhideWhenUsed/>
    <w:rsid w:val="00F50342"/>
    <w:pPr>
      <w:spacing w:after="0" w:line="240" w:lineRule="auto"/>
    </w:pPr>
    <w:rPr>
      <w:sz w:val="20"/>
      <w:szCs w:val="20"/>
    </w:rPr>
  </w:style>
  <w:style w:type="character" w:customStyle="1" w:styleId="EndnoteTextChar">
    <w:name w:val="Endnote Text Char"/>
    <w:basedOn w:val="DefaultParagraphFont"/>
    <w:link w:val="EndnoteText"/>
    <w:uiPriority w:val="99"/>
    <w:rsid w:val="00F50342"/>
    <w:rPr>
      <w:sz w:val="20"/>
      <w:szCs w:val="20"/>
    </w:rPr>
  </w:style>
  <w:style w:type="character" w:styleId="EndnoteReference">
    <w:name w:val="endnote reference"/>
    <w:basedOn w:val="DefaultParagraphFont"/>
    <w:uiPriority w:val="99"/>
    <w:unhideWhenUsed/>
    <w:rsid w:val="00F50342"/>
    <w:rPr>
      <w:vertAlign w:val="superscript"/>
    </w:rPr>
  </w:style>
  <w:style w:type="character" w:customStyle="1" w:styleId="Heading1Char">
    <w:name w:val="Heading 1 Char"/>
    <w:basedOn w:val="DefaultParagraphFont"/>
    <w:link w:val="Heading1"/>
    <w:uiPriority w:val="9"/>
    <w:rsid w:val="0034267B"/>
    <w:rPr>
      <w:rFonts w:eastAsiaTheme="majorEastAsia" w:cstheme="majorBidi"/>
      <w:b/>
      <w:bCs/>
      <w:szCs w:val="28"/>
    </w:rPr>
  </w:style>
  <w:style w:type="character" w:customStyle="1" w:styleId="Heading2Char">
    <w:name w:val="Heading 2 Char"/>
    <w:basedOn w:val="DefaultParagraphFont"/>
    <w:link w:val="Heading2"/>
    <w:uiPriority w:val="9"/>
    <w:rsid w:val="0034267B"/>
    <w:rPr>
      <w:rFonts w:eastAsiaTheme="majorEastAsia" w:cstheme="majorBidi"/>
      <w:i/>
      <w:sz w:val="20"/>
      <w:szCs w:val="26"/>
    </w:rPr>
  </w:style>
  <w:style w:type="paragraph" w:styleId="Title">
    <w:name w:val="Title"/>
    <w:basedOn w:val="Normal"/>
    <w:next w:val="Normal"/>
    <w:link w:val="TitleChar"/>
    <w:uiPriority w:val="10"/>
    <w:qFormat/>
    <w:rsid w:val="0034267B"/>
    <w:pPr>
      <w:keepNext/>
      <w:keepLines/>
      <w:spacing w:after="180" w:line="264" w:lineRule="auto"/>
      <w:jc w:val="center"/>
    </w:pPr>
    <w:rPr>
      <w:b/>
      <w:kern w:val="28"/>
      <w:sz w:val="28"/>
      <w:szCs w:val="52"/>
    </w:rPr>
  </w:style>
  <w:style w:type="character" w:customStyle="1" w:styleId="TitleChar">
    <w:name w:val="Title Char"/>
    <w:basedOn w:val="DefaultParagraphFont"/>
    <w:link w:val="Title"/>
    <w:uiPriority w:val="10"/>
    <w:rsid w:val="0034267B"/>
    <w:rPr>
      <w:b/>
      <w:kern w:val="28"/>
      <w:sz w:val="28"/>
      <w:szCs w:val="52"/>
    </w:rPr>
  </w:style>
  <w:style w:type="paragraph" w:styleId="Caption">
    <w:name w:val="caption"/>
    <w:basedOn w:val="Normal"/>
    <w:next w:val="Normal"/>
    <w:uiPriority w:val="35"/>
    <w:unhideWhenUsed/>
    <w:qFormat/>
    <w:rsid w:val="0034267B"/>
    <w:pPr>
      <w:keepNext/>
      <w:keepLines/>
      <w:spacing w:before="200" w:after="100" w:line="264" w:lineRule="auto"/>
    </w:pPr>
    <w:rPr>
      <w:b/>
      <w:bCs/>
      <w:sz w:val="20"/>
      <w:szCs w:val="16"/>
    </w:rPr>
  </w:style>
  <w:style w:type="paragraph" w:styleId="NoSpacing">
    <w:name w:val="No Spacing"/>
    <w:basedOn w:val="Normal"/>
    <w:link w:val="NoSpacingChar"/>
    <w:uiPriority w:val="1"/>
    <w:qFormat/>
    <w:rsid w:val="0034267B"/>
    <w:pPr>
      <w:spacing w:after="0" w:line="240" w:lineRule="auto"/>
    </w:pPr>
    <w:rPr>
      <w:sz w:val="20"/>
      <w:szCs w:val="20"/>
    </w:rPr>
  </w:style>
  <w:style w:type="character" w:customStyle="1" w:styleId="NoSpacingChar">
    <w:name w:val="No Spacing Char"/>
    <w:basedOn w:val="DefaultParagraphFont"/>
    <w:link w:val="NoSpacing"/>
    <w:uiPriority w:val="1"/>
    <w:rsid w:val="0034267B"/>
    <w:rPr>
      <w:sz w:val="20"/>
      <w:szCs w:val="20"/>
    </w:rPr>
  </w:style>
  <w:style w:type="paragraph" w:customStyle="1" w:styleId="Source">
    <w:name w:val="Source"/>
    <w:basedOn w:val="Normal"/>
    <w:qFormat/>
    <w:rsid w:val="0034267B"/>
    <w:pPr>
      <w:keepLines/>
      <w:spacing w:before="60" w:after="240" w:line="264" w:lineRule="auto"/>
    </w:pPr>
    <w:rPr>
      <w:sz w:val="18"/>
      <w:szCs w:val="20"/>
    </w:rPr>
  </w:style>
  <w:style w:type="paragraph" w:styleId="Subtitle">
    <w:name w:val="Subtitle"/>
    <w:basedOn w:val="Title"/>
    <w:next w:val="Normal"/>
    <w:link w:val="SubtitleChar"/>
    <w:uiPriority w:val="11"/>
    <w:qFormat/>
    <w:rsid w:val="0034267B"/>
    <w:pPr>
      <w:numPr>
        <w:ilvl w:val="1"/>
      </w:numPr>
      <w:spacing w:after="360"/>
    </w:pPr>
    <w:rPr>
      <w:rFonts w:eastAsiaTheme="majorEastAsia" w:cstheme="majorBidi"/>
      <w:b w:val="0"/>
      <w:iCs/>
      <w:sz w:val="22"/>
      <w:szCs w:val="24"/>
    </w:rPr>
  </w:style>
  <w:style w:type="character" w:customStyle="1" w:styleId="SubtitleChar">
    <w:name w:val="Subtitle Char"/>
    <w:basedOn w:val="DefaultParagraphFont"/>
    <w:link w:val="Subtitle"/>
    <w:uiPriority w:val="11"/>
    <w:rsid w:val="0034267B"/>
    <w:rPr>
      <w:rFonts w:eastAsiaTheme="majorEastAsia" w:cstheme="majorBidi"/>
      <w:iCs/>
      <w:kern w:val="28"/>
      <w:szCs w:val="24"/>
    </w:rPr>
  </w:style>
  <w:style w:type="paragraph" w:customStyle="1" w:styleId="References">
    <w:name w:val="References"/>
    <w:basedOn w:val="NoSpacing"/>
    <w:qFormat/>
    <w:rsid w:val="0034267B"/>
    <w:pPr>
      <w:spacing w:after="20"/>
      <w:ind w:left="113" w:hanging="113"/>
    </w:pPr>
    <w:rPr>
      <w:sz w:val="18"/>
    </w:rPr>
  </w:style>
  <w:style w:type="paragraph" w:customStyle="1" w:styleId="Table">
    <w:name w:val="Table"/>
    <w:basedOn w:val="NoSpacing"/>
    <w:qFormat/>
    <w:rsid w:val="0034267B"/>
    <w:pPr>
      <w:keepNext/>
      <w:keepLines/>
      <w:spacing w:before="40" w:after="40"/>
    </w:pPr>
  </w:style>
  <w:style w:type="character" w:styleId="CommentReference">
    <w:name w:val="annotation reference"/>
    <w:basedOn w:val="DefaultParagraphFont"/>
    <w:uiPriority w:val="99"/>
    <w:semiHidden/>
    <w:unhideWhenUsed/>
    <w:rsid w:val="00F90398"/>
    <w:rPr>
      <w:sz w:val="16"/>
      <w:szCs w:val="16"/>
    </w:rPr>
  </w:style>
  <w:style w:type="paragraph" w:styleId="CommentText">
    <w:name w:val="annotation text"/>
    <w:basedOn w:val="Normal"/>
    <w:link w:val="CommentTextChar"/>
    <w:uiPriority w:val="99"/>
    <w:semiHidden/>
    <w:unhideWhenUsed/>
    <w:rsid w:val="00F90398"/>
    <w:pPr>
      <w:spacing w:line="240" w:lineRule="auto"/>
    </w:pPr>
    <w:rPr>
      <w:sz w:val="20"/>
      <w:szCs w:val="20"/>
    </w:rPr>
  </w:style>
  <w:style w:type="character" w:customStyle="1" w:styleId="CommentTextChar">
    <w:name w:val="Comment Text Char"/>
    <w:basedOn w:val="DefaultParagraphFont"/>
    <w:link w:val="CommentText"/>
    <w:uiPriority w:val="99"/>
    <w:semiHidden/>
    <w:rsid w:val="00F90398"/>
    <w:rPr>
      <w:sz w:val="20"/>
      <w:szCs w:val="20"/>
    </w:rPr>
  </w:style>
  <w:style w:type="paragraph" w:styleId="CommentSubject">
    <w:name w:val="annotation subject"/>
    <w:basedOn w:val="CommentText"/>
    <w:next w:val="CommentText"/>
    <w:link w:val="CommentSubjectChar"/>
    <w:uiPriority w:val="99"/>
    <w:semiHidden/>
    <w:unhideWhenUsed/>
    <w:rsid w:val="00F90398"/>
    <w:rPr>
      <w:b/>
      <w:bCs/>
    </w:rPr>
  </w:style>
  <w:style w:type="character" w:customStyle="1" w:styleId="CommentSubjectChar">
    <w:name w:val="Comment Subject Char"/>
    <w:basedOn w:val="CommentTextChar"/>
    <w:link w:val="CommentSubject"/>
    <w:uiPriority w:val="99"/>
    <w:semiHidden/>
    <w:rsid w:val="00F90398"/>
    <w:rPr>
      <w:b/>
      <w:bCs/>
      <w:sz w:val="20"/>
      <w:szCs w:val="20"/>
    </w:rPr>
  </w:style>
  <w:style w:type="paragraph" w:styleId="Revision">
    <w:name w:val="Revision"/>
    <w:hidden/>
    <w:uiPriority w:val="99"/>
    <w:semiHidden/>
    <w:rsid w:val="00E86833"/>
    <w:pPr>
      <w:spacing w:after="0" w:line="240" w:lineRule="auto"/>
    </w:pPr>
  </w:style>
  <w:style w:type="paragraph" w:styleId="NormalWeb">
    <w:name w:val="Normal (Web)"/>
    <w:basedOn w:val="Normal"/>
    <w:uiPriority w:val="99"/>
    <w:unhideWhenUsed/>
    <w:rsid w:val="00864A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space">
    <w:name w:val="No space"/>
    <w:basedOn w:val="Normal"/>
    <w:next w:val="Normal"/>
    <w:qFormat/>
    <w:rsid w:val="009A1229"/>
    <w:pPr>
      <w:spacing w:after="0" w:line="240" w:lineRule="auto"/>
    </w:pPr>
    <w:rPr>
      <w:rFonts w:eastAsiaTheme="minorHAnsi"/>
      <w:noProof/>
      <w:sz w:val="24"/>
      <w:szCs w:val="23"/>
      <w:lang w:val="en-GB" w:eastAsia="en-GB"/>
    </w:rPr>
  </w:style>
  <w:style w:type="character" w:styleId="FollowedHyperlink">
    <w:name w:val="FollowedHyperlink"/>
    <w:basedOn w:val="DefaultParagraphFont"/>
    <w:uiPriority w:val="99"/>
    <w:semiHidden/>
    <w:unhideWhenUsed/>
    <w:rsid w:val="009668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267B"/>
    <w:pPr>
      <w:keepNext/>
      <w:keepLines/>
      <w:spacing w:before="180" w:after="100" w:line="264" w:lineRule="auto"/>
      <w:outlineLvl w:val="0"/>
    </w:pPr>
    <w:rPr>
      <w:rFonts w:eastAsiaTheme="majorEastAsia" w:cstheme="majorBidi"/>
      <w:b/>
      <w:bCs/>
      <w:szCs w:val="28"/>
    </w:rPr>
  </w:style>
  <w:style w:type="paragraph" w:styleId="Heading2">
    <w:name w:val="heading 2"/>
    <w:basedOn w:val="Heading1"/>
    <w:next w:val="Normal"/>
    <w:link w:val="Heading2Char"/>
    <w:uiPriority w:val="9"/>
    <w:unhideWhenUsed/>
    <w:qFormat/>
    <w:rsid w:val="0034267B"/>
    <w:pPr>
      <w:spacing w:before="120"/>
      <w:outlineLvl w:val="1"/>
    </w:pPr>
    <w:rPr>
      <w:b w:val="0"/>
      <w:bCs w:val="0"/>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79D4"/>
    <w:pPr>
      <w:ind w:left="720"/>
      <w:contextualSpacing/>
    </w:pPr>
  </w:style>
  <w:style w:type="paragraph" w:styleId="Header">
    <w:name w:val="header"/>
    <w:basedOn w:val="Normal"/>
    <w:link w:val="HeaderChar"/>
    <w:uiPriority w:val="99"/>
    <w:unhideWhenUsed/>
    <w:rsid w:val="001C4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5F2"/>
  </w:style>
  <w:style w:type="paragraph" w:styleId="Footer">
    <w:name w:val="footer"/>
    <w:basedOn w:val="Normal"/>
    <w:link w:val="FooterChar"/>
    <w:uiPriority w:val="99"/>
    <w:unhideWhenUsed/>
    <w:rsid w:val="001C4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5F2"/>
  </w:style>
  <w:style w:type="paragraph" w:customStyle="1" w:styleId="Default">
    <w:name w:val="Default"/>
    <w:rsid w:val="00412E1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12E1B"/>
    <w:rPr>
      <w:b/>
      <w:bCs/>
      <w:i w:val="0"/>
      <w:iCs w:val="0"/>
    </w:rPr>
  </w:style>
  <w:style w:type="paragraph" w:styleId="BalloonText">
    <w:name w:val="Balloon Text"/>
    <w:basedOn w:val="Normal"/>
    <w:link w:val="BalloonTextChar"/>
    <w:uiPriority w:val="99"/>
    <w:semiHidden/>
    <w:unhideWhenUsed/>
    <w:rsid w:val="005B5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717"/>
    <w:rPr>
      <w:rFonts w:ascii="Tahoma" w:hAnsi="Tahoma" w:cs="Tahoma"/>
      <w:sz w:val="16"/>
      <w:szCs w:val="16"/>
    </w:rPr>
  </w:style>
  <w:style w:type="table" w:styleId="TableGrid">
    <w:name w:val="Table Grid"/>
    <w:basedOn w:val="TableNormal"/>
    <w:uiPriority w:val="59"/>
    <w:rsid w:val="005B5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344D9"/>
    <w:rPr>
      <w:color w:val="003300"/>
      <w:u w:val="none"/>
    </w:rPr>
  </w:style>
  <w:style w:type="paragraph" w:styleId="FootnoteText">
    <w:name w:val="footnote text"/>
    <w:aliases w:val="Char"/>
    <w:basedOn w:val="Normal"/>
    <w:link w:val="FootnoteTextChar"/>
    <w:uiPriority w:val="99"/>
    <w:unhideWhenUsed/>
    <w:rsid w:val="00955B7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55B7C"/>
    <w:rPr>
      <w:sz w:val="20"/>
      <w:szCs w:val="20"/>
    </w:rPr>
  </w:style>
  <w:style w:type="character" w:styleId="FootnoteReference">
    <w:name w:val="footnote reference"/>
    <w:basedOn w:val="DefaultParagraphFont"/>
    <w:uiPriority w:val="99"/>
    <w:unhideWhenUsed/>
    <w:rsid w:val="00955B7C"/>
    <w:rPr>
      <w:vertAlign w:val="superscript"/>
    </w:rPr>
  </w:style>
  <w:style w:type="character" w:customStyle="1" w:styleId="ListParagraphChar">
    <w:name w:val="List Paragraph Char"/>
    <w:basedOn w:val="DefaultParagraphFont"/>
    <w:link w:val="ListParagraph"/>
    <w:uiPriority w:val="34"/>
    <w:locked/>
    <w:rsid w:val="00D54A8C"/>
  </w:style>
  <w:style w:type="paragraph" w:styleId="EndnoteText">
    <w:name w:val="endnote text"/>
    <w:basedOn w:val="Normal"/>
    <w:link w:val="EndnoteTextChar"/>
    <w:uiPriority w:val="99"/>
    <w:unhideWhenUsed/>
    <w:rsid w:val="00F50342"/>
    <w:pPr>
      <w:spacing w:after="0" w:line="240" w:lineRule="auto"/>
    </w:pPr>
    <w:rPr>
      <w:sz w:val="20"/>
      <w:szCs w:val="20"/>
    </w:rPr>
  </w:style>
  <w:style w:type="character" w:customStyle="1" w:styleId="EndnoteTextChar">
    <w:name w:val="Endnote Text Char"/>
    <w:basedOn w:val="DefaultParagraphFont"/>
    <w:link w:val="EndnoteText"/>
    <w:uiPriority w:val="99"/>
    <w:rsid w:val="00F50342"/>
    <w:rPr>
      <w:sz w:val="20"/>
      <w:szCs w:val="20"/>
    </w:rPr>
  </w:style>
  <w:style w:type="character" w:styleId="EndnoteReference">
    <w:name w:val="endnote reference"/>
    <w:basedOn w:val="DefaultParagraphFont"/>
    <w:uiPriority w:val="99"/>
    <w:unhideWhenUsed/>
    <w:rsid w:val="00F50342"/>
    <w:rPr>
      <w:vertAlign w:val="superscript"/>
    </w:rPr>
  </w:style>
  <w:style w:type="character" w:customStyle="1" w:styleId="Heading1Char">
    <w:name w:val="Heading 1 Char"/>
    <w:basedOn w:val="DefaultParagraphFont"/>
    <w:link w:val="Heading1"/>
    <w:uiPriority w:val="9"/>
    <w:rsid w:val="0034267B"/>
    <w:rPr>
      <w:rFonts w:eastAsiaTheme="majorEastAsia" w:cstheme="majorBidi"/>
      <w:b/>
      <w:bCs/>
      <w:szCs w:val="28"/>
    </w:rPr>
  </w:style>
  <w:style w:type="character" w:customStyle="1" w:styleId="Heading2Char">
    <w:name w:val="Heading 2 Char"/>
    <w:basedOn w:val="DefaultParagraphFont"/>
    <w:link w:val="Heading2"/>
    <w:uiPriority w:val="9"/>
    <w:rsid w:val="0034267B"/>
    <w:rPr>
      <w:rFonts w:eastAsiaTheme="majorEastAsia" w:cstheme="majorBidi"/>
      <w:i/>
      <w:sz w:val="20"/>
      <w:szCs w:val="26"/>
    </w:rPr>
  </w:style>
  <w:style w:type="paragraph" w:styleId="Title">
    <w:name w:val="Title"/>
    <w:basedOn w:val="Normal"/>
    <w:next w:val="Normal"/>
    <w:link w:val="TitleChar"/>
    <w:uiPriority w:val="10"/>
    <w:qFormat/>
    <w:rsid w:val="0034267B"/>
    <w:pPr>
      <w:keepNext/>
      <w:keepLines/>
      <w:spacing w:after="180" w:line="264" w:lineRule="auto"/>
      <w:jc w:val="center"/>
    </w:pPr>
    <w:rPr>
      <w:b/>
      <w:kern w:val="28"/>
      <w:sz w:val="28"/>
      <w:szCs w:val="52"/>
    </w:rPr>
  </w:style>
  <w:style w:type="character" w:customStyle="1" w:styleId="TitleChar">
    <w:name w:val="Title Char"/>
    <w:basedOn w:val="DefaultParagraphFont"/>
    <w:link w:val="Title"/>
    <w:uiPriority w:val="10"/>
    <w:rsid w:val="0034267B"/>
    <w:rPr>
      <w:b/>
      <w:kern w:val="28"/>
      <w:sz w:val="28"/>
      <w:szCs w:val="52"/>
    </w:rPr>
  </w:style>
  <w:style w:type="paragraph" w:styleId="Caption">
    <w:name w:val="caption"/>
    <w:basedOn w:val="Normal"/>
    <w:next w:val="Normal"/>
    <w:uiPriority w:val="35"/>
    <w:unhideWhenUsed/>
    <w:qFormat/>
    <w:rsid w:val="0034267B"/>
    <w:pPr>
      <w:keepNext/>
      <w:keepLines/>
      <w:spacing w:before="200" w:after="100" w:line="264" w:lineRule="auto"/>
    </w:pPr>
    <w:rPr>
      <w:b/>
      <w:bCs/>
      <w:sz w:val="20"/>
      <w:szCs w:val="16"/>
    </w:rPr>
  </w:style>
  <w:style w:type="paragraph" w:styleId="NoSpacing">
    <w:name w:val="No Spacing"/>
    <w:basedOn w:val="Normal"/>
    <w:link w:val="NoSpacingChar"/>
    <w:uiPriority w:val="1"/>
    <w:qFormat/>
    <w:rsid w:val="0034267B"/>
    <w:pPr>
      <w:spacing w:after="0" w:line="240" w:lineRule="auto"/>
    </w:pPr>
    <w:rPr>
      <w:sz w:val="20"/>
      <w:szCs w:val="20"/>
    </w:rPr>
  </w:style>
  <w:style w:type="character" w:customStyle="1" w:styleId="NoSpacingChar">
    <w:name w:val="No Spacing Char"/>
    <w:basedOn w:val="DefaultParagraphFont"/>
    <w:link w:val="NoSpacing"/>
    <w:uiPriority w:val="1"/>
    <w:rsid w:val="0034267B"/>
    <w:rPr>
      <w:sz w:val="20"/>
      <w:szCs w:val="20"/>
    </w:rPr>
  </w:style>
  <w:style w:type="paragraph" w:customStyle="1" w:styleId="Source">
    <w:name w:val="Source"/>
    <w:basedOn w:val="Normal"/>
    <w:qFormat/>
    <w:rsid w:val="0034267B"/>
    <w:pPr>
      <w:keepLines/>
      <w:spacing w:before="60" w:after="240" w:line="264" w:lineRule="auto"/>
    </w:pPr>
    <w:rPr>
      <w:sz w:val="18"/>
      <w:szCs w:val="20"/>
    </w:rPr>
  </w:style>
  <w:style w:type="paragraph" w:styleId="Subtitle">
    <w:name w:val="Subtitle"/>
    <w:basedOn w:val="Title"/>
    <w:next w:val="Normal"/>
    <w:link w:val="SubtitleChar"/>
    <w:uiPriority w:val="11"/>
    <w:qFormat/>
    <w:rsid w:val="0034267B"/>
    <w:pPr>
      <w:numPr>
        <w:ilvl w:val="1"/>
      </w:numPr>
      <w:spacing w:after="360"/>
    </w:pPr>
    <w:rPr>
      <w:rFonts w:eastAsiaTheme="majorEastAsia" w:cstheme="majorBidi"/>
      <w:b w:val="0"/>
      <w:iCs/>
      <w:sz w:val="22"/>
      <w:szCs w:val="24"/>
    </w:rPr>
  </w:style>
  <w:style w:type="character" w:customStyle="1" w:styleId="SubtitleChar">
    <w:name w:val="Subtitle Char"/>
    <w:basedOn w:val="DefaultParagraphFont"/>
    <w:link w:val="Subtitle"/>
    <w:uiPriority w:val="11"/>
    <w:rsid w:val="0034267B"/>
    <w:rPr>
      <w:rFonts w:eastAsiaTheme="majorEastAsia" w:cstheme="majorBidi"/>
      <w:iCs/>
      <w:kern w:val="28"/>
      <w:szCs w:val="24"/>
    </w:rPr>
  </w:style>
  <w:style w:type="paragraph" w:customStyle="1" w:styleId="References">
    <w:name w:val="References"/>
    <w:basedOn w:val="NoSpacing"/>
    <w:qFormat/>
    <w:rsid w:val="0034267B"/>
    <w:pPr>
      <w:spacing w:after="20"/>
      <w:ind w:left="113" w:hanging="113"/>
    </w:pPr>
    <w:rPr>
      <w:sz w:val="18"/>
    </w:rPr>
  </w:style>
  <w:style w:type="paragraph" w:customStyle="1" w:styleId="Table">
    <w:name w:val="Table"/>
    <w:basedOn w:val="NoSpacing"/>
    <w:qFormat/>
    <w:rsid w:val="0034267B"/>
    <w:pPr>
      <w:keepNext/>
      <w:keepLines/>
      <w:spacing w:before="40" w:after="40"/>
    </w:pPr>
  </w:style>
  <w:style w:type="character" w:styleId="CommentReference">
    <w:name w:val="annotation reference"/>
    <w:basedOn w:val="DefaultParagraphFont"/>
    <w:uiPriority w:val="99"/>
    <w:semiHidden/>
    <w:unhideWhenUsed/>
    <w:rsid w:val="00F90398"/>
    <w:rPr>
      <w:sz w:val="16"/>
      <w:szCs w:val="16"/>
    </w:rPr>
  </w:style>
  <w:style w:type="paragraph" w:styleId="CommentText">
    <w:name w:val="annotation text"/>
    <w:basedOn w:val="Normal"/>
    <w:link w:val="CommentTextChar"/>
    <w:uiPriority w:val="99"/>
    <w:semiHidden/>
    <w:unhideWhenUsed/>
    <w:rsid w:val="00F90398"/>
    <w:pPr>
      <w:spacing w:line="240" w:lineRule="auto"/>
    </w:pPr>
    <w:rPr>
      <w:sz w:val="20"/>
      <w:szCs w:val="20"/>
    </w:rPr>
  </w:style>
  <w:style w:type="character" w:customStyle="1" w:styleId="CommentTextChar">
    <w:name w:val="Comment Text Char"/>
    <w:basedOn w:val="DefaultParagraphFont"/>
    <w:link w:val="CommentText"/>
    <w:uiPriority w:val="99"/>
    <w:semiHidden/>
    <w:rsid w:val="00F90398"/>
    <w:rPr>
      <w:sz w:val="20"/>
      <w:szCs w:val="20"/>
    </w:rPr>
  </w:style>
  <w:style w:type="paragraph" w:styleId="CommentSubject">
    <w:name w:val="annotation subject"/>
    <w:basedOn w:val="CommentText"/>
    <w:next w:val="CommentText"/>
    <w:link w:val="CommentSubjectChar"/>
    <w:uiPriority w:val="99"/>
    <w:semiHidden/>
    <w:unhideWhenUsed/>
    <w:rsid w:val="00F90398"/>
    <w:rPr>
      <w:b/>
      <w:bCs/>
    </w:rPr>
  </w:style>
  <w:style w:type="character" w:customStyle="1" w:styleId="CommentSubjectChar">
    <w:name w:val="Comment Subject Char"/>
    <w:basedOn w:val="CommentTextChar"/>
    <w:link w:val="CommentSubject"/>
    <w:uiPriority w:val="99"/>
    <w:semiHidden/>
    <w:rsid w:val="00F90398"/>
    <w:rPr>
      <w:b/>
      <w:bCs/>
      <w:sz w:val="20"/>
      <w:szCs w:val="20"/>
    </w:rPr>
  </w:style>
  <w:style w:type="paragraph" w:styleId="Revision">
    <w:name w:val="Revision"/>
    <w:hidden/>
    <w:uiPriority w:val="99"/>
    <w:semiHidden/>
    <w:rsid w:val="00E86833"/>
    <w:pPr>
      <w:spacing w:after="0" w:line="240" w:lineRule="auto"/>
    </w:pPr>
  </w:style>
  <w:style w:type="paragraph" w:styleId="NormalWeb">
    <w:name w:val="Normal (Web)"/>
    <w:basedOn w:val="Normal"/>
    <w:uiPriority w:val="99"/>
    <w:unhideWhenUsed/>
    <w:rsid w:val="00864AE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ospace">
    <w:name w:val="No space"/>
    <w:basedOn w:val="Normal"/>
    <w:next w:val="Normal"/>
    <w:qFormat/>
    <w:rsid w:val="009A1229"/>
    <w:pPr>
      <w:spacing w:after="0" w:line="240" w:lineRule="auto"/>
    </w:pPr>
    <w:rPr>
      <w:rFonts w:eastAsiaTheme="minorHAnsi"/>
      <w:noProof/>
      <w:sz w:val="24"/>
      <w:szCs w:val="23"/>
      <w:lang w:val="en-GB" w:eastAsia="en-GB"/>
    </w:rPr>
  </w:style>
  <w:style w:type="character" w:styleId="FollowedHyperlink">
    <w:name w:val="FollowedHyperlink"/>
    <w:basedOn w:val="DefaultParagraphFont"/>
    <w:uiPriority w:val="99"/>
    <w:semiHidden/>
    <w:unhideWhenUsed/>
    <w:rsid w:val="00966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778">
      <w:bodyDiv w:val="1"/>
      <w:marLeft w:val="0"/>
      <w:marRight w:val="0"/>
      <w:marTop w:val="0"/>
      <w:marBottom w:val="0"/>
      <w:divBdr>
        <w:top w:val="none" w:sz="0" w:space="0" w:color="auto"/>
        <w:left w:val="none" w:sz="0" w:space="0" w:color="auto"/>
        <w:bottom w:val="none" w:sz="0" w:space="0" w:color="auto"/>
        <w:right w:val="none" w:sz="0" w:space="0" w:color="auto"/>
      </w:divBdr>
    </w:div>
    <w:div w:id="431441889">
      <w:bodyDiv w:val="1"/>
      <w:marLeft w:val="0"/>
      <w:marRight w:val="0"/>
      <w:marTop w:val="0"/>
      <w:marBottom w:val="0"/>
      <w:divBdr>
        <w:top w:val="none" w:sz="0" w:space="0" w:color="auto"/>
        <w:left w:val="none" w:sz="0" w:space="0" w:color="auto"/>
        <w:bottom w:val="none" w:sz="0" w:space="0" w:color="auto"/>
        <w:right w:val="none" w:sz="0" w:space="0" w:color="auto"/>
      </w:divBdr>
    </w:div>
    <w:div w:id="441538471">
      <w:bodyDiv w:val="1"/>
      <w:marLeft w:val="0"/>
      <w:marRight w:val="0"/>
      <w:marTop w:val="0"/>
      <w:marBottom w:val="0"/>
      <w:divBdr>
        <w:top w:val="none" w:sz="0" w:space="0" w:color="auto"/>
        <w:left w:val="none" w:sz="0" w:space="0" w:color="auto"/>
        <w:bottom w:val="none" w:sz="0" w:space="0" w:color="auto"/>
        <w:right w:val="none" w:sz="0" w:space="0" w:color="auto"/>
      </w:divBdr>
    </w:div>
    <w:div w:id="772670796">
      <w:bodyDiv w:val="1"/>
      <w:marLeft w:val="0"/>
      <w:marRight w:val="0"/>
      <w:marTop w:val="0"/>
      <w:marBottom w:val="0"/>
      <w:divBdr>
        <w:top w:val="none" w:sz="0" w:space="0" w:color="auto"/>
        <w:left w:val="none" w:sz="0" w:space="0" w:color="auto"/>
        <w:bottom w:val="none" w:sz="0" w:space="0" w:color="auto"/>
        <w:right w:val="none" w:sz="0" w:space="0" w:color="auto"/>
      </w:divBdr>
    </w:div>
    <w:div w:id="884875612">
      <w:bodyDiv w:val="1"/>
      <w:marLeft w:val="0"/>
      <w:marRight w:val="0"/>
      <w:marTop w:val="0"/>
      <w:marBottom w:val="0"/>
      <w:divBdr>
        <w:top w:val="none" w:sz="0" w:space="0" w:color="auto"/>
        <w:left w:val="none" w:sz="0" w:space="0" w:color="auto"/>
        <w:bottom w:val="none" w:sz="0" w:space="0" w:color="auto"/>
        <w:right w:val="none" w:sz="0" w:space="0" w:color="auto"/>
      </w:divBdr>
    </w:div>
    <w:div w:id="102498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4" Type="http://schemas.openxmlformats.org/officeDocument/2006/relationships/hyperlink" Target="http://www.ifpri.org/publication/dragon-and-elephant-2" TargetMode="External"/><Relationship Id="rId15" Type="http://schemas.openxmlformats.org/officeDocument/2006/relationships/hyperlink" Target="http://dx.doi.org/10.2499/9780896296619BK" TargetMode="External"/><Relationship Id="rId16" Type="http://schemas.openxmlformats.org/officeDocument/2006/relationships/image" Target="media/image3.png"/><Relationship Id="rId17" Type="http://schemas.openxmlformats.org/officeDocument/2006/relationships/hyperlink" Target="http://www.ifpri.org/publication/dragon-and-elephant-0" TargetMode="External"/><Relationship Id="rId18" Type="http://schemas.openxmlformats.org/officeDocument/2006/relationships/hyperlink" Target="http://www.ifpri.org/publication/supporting-caadp-through-evidence-and-outcome-based-policy-africa-0" TargetMode="External"/><Relationship Id="rId19" Type="http://schemas.openxmlformats.org/officeDocument/2006/relationships/hyperlink" Target="http://www.ifpri.org/publication/2011-global-food-policy-report" TargetMode="External"/><Relationship Id="rId63" Type="http://schemas.openxmlformats.org/officeDocument/2006/relationships/hyperlink" Target="http://www.ifpri.org/publication/constraints-increasing-agricultural-productivity-nigeria-0" TargetMode="External"/><Relationship Id="rId64" Type="http://schemas.openxmlformats.org/officeDocument/2006/relationships/hyperlink" Target="http://dx.doi.org/10.1016/j.worlddev.2008.08.023" TargetMode="External"/><Relationship Id="rId65" Type="http://schemas.openxmlformats.org/officeDocument/2006/relationships/hyperlink" Target="http://dx.doi.org/10.1016/S0140-6736(12)60647-3" TargetMode="External"/><Relationship Id="rId66" Type="http://schemas.openxmlformats.org/officeDocument/2006/relationships/hyperlink" Target="http://go.worldbank.org/H2IK32TVU0" TargetMode="External"/><Relationship Id="rId67" Type="http://schemas.openxmlformats.org/officeDocument/2006/relationships/hyperlink" Target="http://dx.doi.org/10.2499/9780896299344ENGHI2011" TargetMode="External"/><Relationship Id="rId68" Type="http://schemas.openxmlformats.org/officeDocument/2006/relationships/hyperlink" Target="http://povertydata.worldbank.org/poverty/home" TargetMode="External"/><Relationship Id="rId69" Type="http://schemas.openxmlformats.org/officeDocument/2006/relationships/fontTable" Target="fontTable.xml"/><Relationship Id="rId50" Type="http://schemas.openxmlformats.org/officeDocument/2006/relationships/hyperlink" Target="http://ccafs.cgiar.org/commission/reports/" TargetMode="External"/><Relationship Id="rId51" Type="http://schemas.openxmlformats.org/officeDocument/2006/relationships/image" Target="media/image5.png"/><Relationship Id="rId52" Type="http://schemas.openxmlformats.org/officeDocument/2006/relationships/hyperlink" Target="http://ccafs.cgiar.org/commission/reports/" TargetMode="External"/><Relationship Id="rId53" Type="http://schemas.openxmlformats.org/officeDocument/2006/relationships/hyperlink" Target="http://dx.doi.org/10.2499/0896295389" TargetMode="External"/><Relationship Id="rId54" Type="http://schemas.openxmlformats.org/officeDocument/2006/relationships/hyperlink" Target="http://www.ifpri.org/ourwork/program/country-development-strategy" TargetMode="External"/><Relationship Id="rId55" Type="http://schemas.openxmlformats.org/officeDocument/2006/relationships/hyperlink" Target="http://dgcorner.ifpri.info/2011/10/06/new-approaches-to-food-security/" TargetMode="External"/><Relationship Id="rId56" Type="http://schemas.openxmlformats.org/officeDocument/2006/relationships/hyperlink" Target="http://www.ifpri.org/publication/impact-ethiopias-productive-safety-net-programme-and-its-linkages" TargetMode="External"/><Relationship Id="rId57" Type="http://schemas.openxmlformats.org/officeDocument/2006/relationships/hyperlink" Target="http://dx.doi.org/10.1126/science.1202543" TargetMode="External"/><Relationship Id="rId58" Type="http://schemas.openxmlformats.org/officeDocument/2006/relationships/hyperlink" Target="http://www.boell.de/publications/publications-study-how-to-feed-the-worlds-growing-billions-fao-12032.html" TargetMode="External"/><Relationship Id="rId59" Type="http://schemas.openxmlformats.org/officeDocument/2006/relationships/hyperlink" Target="http://dx.doi.org/10.1371/journal.pone.0007940" TargetMode="External"/><Relationship Id="rId40" Type="http://schemas.openxmlformats.org/officeDocument/2006/relationships/hyperlink" Target="http://dx.doi.org/10.2499/0896295117FPRev10" TargetMode="External"/><Relationship Id="rId41" Type="http://schemas.openxmlformats.org/officeDocument/2006/relationships/hyperlink" Target="http://www.ifpri.org/publication/economic-losses-and-poverty-effects-droughts-and-floods-malawi" TargetMode="External"/><Relationship Id="rId42" Type="http://schemas.openxmlformats.org/officeDocument/2006/relationships/hyperlink" Target="http://dx.doi.org/10.2499/CAPRiWP63" TargetMode="External"/><Relationship Id="rId43" Type="http://schemas.openxmlformats.org/officeDocument/2006/relationships/hyperlink" Target="http://www.ifpri.org/publication/agricultural-food-and-water-nanotechnologies-poor" TargetMode="External"/><Relationship Id="rId44" Type="http://schemas.openxmlformats.org/officeDocument/2006/relationships/hyperlink" Target="http://www.fao.org/news/story/en/item/74192/icode/" TargetMode="External"/><Relationship Id="rId45" Type="http://schemas.openxmlformats.org/officeDocument/2006/relationships/hyperlink" Target="http://dx.doi.org/10.2499/9780896295438" TargetMode="External"/><Relationship Id="rId46" Type="http://schemas.openxmlformats.org/officeDocument/2006/relationships/hyperlink" Target="http://www.ifpri.org/publication/2011-global-food-policy-report" TargetMode="External"/><Relationship Id="rId47" Type="http://schemas.openxmlformats.org/officeDocument/2006/relationships/hyperlink" Target="http://www.ifpri.org/publication/private-investment-agricultural-research-and-technology-transfer-africa" TargetMode="External"/><Relationship Id="rId48" Type="http://schemas.openxmlformats.org/officeDocument/2006/relationships/hyperlink" Target="http://www.ifpri.org/pressrelease/transforming-agriculture-case-tomato-ghana" TargetMode="External"/><Relationship Id="rId49" Type="http://schemas.openxmlformats.org/officeDocument/2006/relationships/hyperlink" Target="http://www.ifpri.org/publication/ensuring-food-and-nutrition-security-green-econom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ifpri.org/publication/scaling-agricultural-value-chains-pro-poor-development" TargetMode="External"/><Relationship Id="rId31" Type="http://schemas.openxmlformats.org/officeDocument/2006/relationships/hyperlink" Target="http://www.ifpri.org/publication/responding-health-risks-along-value-chain" TargetMode="External"/><Relationship Id="rId32" Type="http://schemas.openxmlformats.org/officeDocument/2006/relationships/hyperlink" Target="http://www.ifpri.org/publication/value-chains-nutrition" TargetMode="External"/><Relationship Id="rId33" Type="http://schemas.openxmlformats.org/officeDocument/2006/relationships/hyperlink" Target="http://www.ifpri.org/publication/quiet-revolution-india-s-food-supply-chains" TargetMode="External"/><Relationship Id="rId34" Type="http://schemas.openxmlformats.org/officeDocument/2006/relationships/hyperlink" Target="http://dx.doi.org/10.1016/j.foodpol.2008.08.001" TargetMode="External"/><Relationship Id="rId35" Type="http://schemas.openxmlformats.org/officeDocument/2006/relationships/hyperlink" Target="http://www.ifpri.org/millionsfed/cases/dairy" TargetMode="External"/><Relationship Id="rId36" Type="http://schemas.openxmlformats.org/officeDocument/2006/relationships/hyperlink" Target="http://www.fao.org/news/story/en/item/74192/icode/" TargetMode="External"/><Relationship Id="rId37" Type="http://schemas.openxmlformats.org/officeDocument/2006/relationships/hyperlink" Target="http://www.boell.de/publications/publications-study-how-to-feed-the-worlds-growing-billions-fao-12032.html" TargetMode="External"/><Relationship Id="rId38" Type="http://schemas.openxmlformats.org/officeDocument/2006/relationships/hyperlink" Target="http://go.worldbank.org/T35HKXAG70" TargetMode="External"/><Relationship Id="rId39" Type="http://schemas.openxmlformats.org/officeDocument/2006/relationships/hyperlink" Target="http://dx.doi.org/10.2499/9780896296619BK" TargetMode="External"/><Relationship Id="rId70" Type="http://schemas.openxmlformats.org/officeDocument/2006/relationships/theme" Target="theme/theme1.xml"/><Relationship Id="rId20" Type="http://schemas.openxmlformats.org/officeDocument/2006/relationships/hyperlink" Target="http://dx.doi.org/10.2499/9780896291867" TargetMode="External"/><Relationship Id="rId21" Type="http://schemas.openxmlformats.org/officeDocument/2006/relationships/hyperlink" Target="http://dx.doi.org/10.1257/app.2.3.22" TargetMode="External"/><Relationship Id="rId22" Type="http://schemas.openxmlformats.org/officeDocument/2006/relationships/hyperlink" Target="http://go.worldbank.org/OFD841GU60" TargetMode="External"/><Relationship Id="rId23" Type="http://schemas.openxmlformats.org/officeDocument/2006/relationships/hyperlink" Target="http://www.ifpri.org/publication/reducing-risk-food-and-nutrition-insecurity-among-vulnerable-populations"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image" Target="media/image4.png"/><Relationship Id="rId27" Type="http://schemas.openxmlformats.org/officeDocument/2006/relationships/footer" Target="footer3.xml"/><Relationship Id="rId28" Type="http://schemas.openxmlformats.org/officeDocument/2006/relationships/hyperlink" Target="http://purl.umn.edu/122614" TargetMode="External"/><Relationship Id="rId29" Type="http://schemas.openxmlformats.org/officeDocument/2006/relationships/hyperlink" Target="http://purl.umn.edu/124628" TargetMode="External"/><Relationship Id="rId60" Type="http://schemas.openxmlformats.org/officeDocument/2006/relationships/hyperlink" Target="http://www.ifpri.org/publication/value-chains-nutrition" TargetMode="External"/><Relationship Id="rId61" Type="http://schemas.openxmlformats.org/officeDocument/2006/relationships/hyperlink" Target="http://dx.doi.org/10.1111/j.2040-0217.2010.00063_2.x" TargetMode="External"/><Relationship Id="rId62" Type="http://schemas.openxmlformats.org/officeDocument/2006/relationships/hyperlink" Target="http://dx.doi.org/10.1017/S0021859605005708" TargetMode="External"/><Relationship Id="rId10" Type="http://schemas.openxmlformats.org/officeDocument/2006/relationships/hyperlink" Target="http://povertydata.worldbank.org/poverty/home" TargetMode="External"/><Relationship Id="rId11" Type="http://schemas.openxmlformats.org/officeDocument/2006/relationships/hyperlink" Target="http://dx.doi.org/10.2499/9780896299344ENGHI2011" TargetMode="External"/><Relationship Id="rId12" Type="http://schemas.openxmlformats.org/officeDocument/2006/relationships/hyperlink" Target="http://www.ifpri.org/publication/halving-hu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5B58-5259-974E-8EF2-70A018EEF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4416</Words>
  <Characters>25174</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IFPRI</Company>
  <LinksUpToDate>false</LinksUpToDate>
  <CharactersWithSpaces>29531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J. Stein</dc:creator>
  <cp:lastModifiedBy>Nicholas Warelis</cp:lastModifiedBy>
  <cp:revision>2</cp:revision>
  <cp:lastPrinted>2012-08-06T19:27:00Z</cp:lastPrinted>
  <dcterms:created xsi:type="dcterms:W3CDTF">2013-01-14T21:36:00Z</dcterms:created>
  <dcterms:modified xsi:type="dcterms:W3CDTF">2013-01-14T21:36:00Z</dcterms:modified>
</cp:coreProperties>
</file>